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1FA" w:rsidRPr="00281EDC" w:rsidRDefault="003B2120" w:rsidP="00281EDC">
      <w:pPr>
        <w:spacing w:after="0" w:line="240" w:lineRule="auto"/>
        <w:outlineLvl w:val="2"/>
        <w:rPr>
          <w:rFonts w:ascii="Times New Roman" w:hAnsi="Times New Roman" w:cs="Times New Roman"/>
          <w:b/>
          <w:sz w:val="24"/>
          <w:szCs w:val="24"/>
        </w:rPr>
      </w:pPr>
      <w:r w:rsidRPr="00281EDC">
        <w:rPr>
          <w:rFonts w:ascii="Times New Roman" w:hAnsi="Times New Roman" w:cs="Times New Roman"/>
          <w:b/>
          <w:sz w:val="24"/>
          <w:szCs w:val="24"/>
        </w:rPr>
        <w:t xml:space="preserve"> </w:t>
      </w:r>
      <w:r w:rsidR="00281EDC" w:rsidRPr="00281EDC">
        <w:rPr>
          <w:rFonts w:ascii="Times New Roman" w:hAnsi="Times New Roman" w:cs="Times New Roman"/>
          <w:b/>
          <w:sz w:val="24"/>
          <w:szCs w:val="24"/>
        </w:rPr>
        <w:t>REHABILITATION PROMISES AND REINTEGRATION SATISFACTION AMONG SURVIVORS IN KARNATAKA</w:t>
      </w:r>
    </w:p>
    <w:p w:rsidR="00281EDC" w:rsidRPr="00281EDC" w:rsidRDefault="00281EDC" w:rsidP="00281EDC">
      <w:pPr>
        <w:spacing w:after="0" w:line="240" w:lineRule="auto"/>
        <w:outlineLvl w:val="2"/>
        <w:rPr>
          <w:rFonts w:ascii="Times New Roman" w:eastAsia="Times New Roman" w:hAnsi="Times New Roman" w:cs="Times New Roman"/>
          <w:b/>
          <w:bCs/>
          <w:sz w:val="24"/>
          <w:szCs w:val="24"/>
        </w:rPr>
      </w:pPr>
    </w:p>
    <w:p w:rsidR="00281EDC" w:rsidRDefault="00C770F6" w:rsidP="00281EDC">
      <w:pPr>
        <w:spacing w:after="0" w:line="240" w:lineRule="auto"/>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Shruti</w:t>
      </w:r>
      <w:r w:rsidR="00281EDC">
        <w:rPr>
          <w:rFonts w:ascii="Times New Roman" w:eastAsia="Times New Roman" w:hAnsi="Times New Roman" w:cs="Times New Roman"/>
          <w:b/>
          <w:bCs/>
          <w:sz w:val="24"/>
          <w:szCs w:val="24"/>
        </w:rPr>
        <w:t xml:space="preserve"> </w:t>
      </w:r>
    </w:p>
    <w:p w:rsidR="00281EDC" w:rsidRPr="00281EDC" w:rsidRDefault="00281EDC" w:rsidP="00281EDC">
      <w:pPr>
        <w:spacing w:after="0" w:line="240" w:lineRule="auto"/>
        <w:jc w:val="center"/>
        <w:rPr>
          <w:rFonts w:ascii="Times New Roman" w:eastAsia="Times New Roman" w:hAnsi="Times New Roman" w:cs="Times New Roman"/>
          <w:sz w:val="24"/>
          <w:szCs w:val="24"/>
        </w:rPr>
      </w:pPr>
      <w:r w:rsidRPr="00281EDC">
        <w:rPr>
          <w:rFonts w:ascii="Times New Roman" w:hAnsi="Times New Roman" w:cs="Times New Roman"/>
          <w:sz w:val="24"/>
          <w:szCs w:val="24"/>
        </w:rPr>
        <w:t>PhD scholar, Department of Studies in Social Work, Shivagangothri, Davangere University, Davanagere Karnataka, India</w:t>
      </w:r>
    </w:p>
    <w:p w:rsidR="003B2120" w:rsidRPr="00281EDC" w:rsidRDefault="00C770F6" w:rsidP="00281EDC">
      <w:pPr>
        <w:spacing w:after="0" w:line="240" w:lineRule="auto"/>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Dr. Patwardhan Rathod</w:t>
      </w:r>
    </w:p>
    <w:p w:rsidR="00281EDC" w:rsidRPr="00281EDC" w:rsidRDefault="00281EDC" w:rsidP="00281EDC">
      <w:pPr>
        <w:pStyle w:val="FootnoteText"/>
        <w:jc w:val="center"/>
        <w:rPr>
          <w:rFonts w:ascii="Times New Roman" w:hAnsi="Times New Roman" w:cs="Times New Roman"/>
          <w:sz w:val="24"/>
          <w:szCs w:val="24"/>
        </w:rPr>
      </w:pPr>
      <w:r w:rsidRPr="00281EDC">
        <w:rPr>
          <w:rFonts w:ascii="Times New Roman" w:hAnsi="Times New Roman" w:cs="Times New Roman"/>
          <w:sz w:val="24"/>
          <w:szCs w:val="24"/>
        </w:rPr>
        <w:t>Assistant Professor, Department of Studies in Social Work, Shivagangothri, Davangere University, Davanagere Karnataka, India.</w:t>
      </w:r>
    </w:p>
    <w:p w:rsidR="00281EDC" w:rsidRDefault="00281EDC" w:rsidP="00281EDC">
      <w:pPr>
        <w:spacing w:after="0" w:line="240" w:lineRule="auto"/>
        <w:outlineLvl w:val="2"/>
        <w:rPr>
          <w:rFonts w:ascii="Times New Roman" w:eastAsia="Times New Roman" w:hAnsi="Times New Roman" w:cs="Times New Roman"/>
          <w:b/>
          <w:bCs/>
          <w:sz w:val="24"/>
          <w:szCs w:val="24"/>
        </w:rPr>
      </w:pPr>
    </w:p>
    <w:p w:rsidR="00A32E1E" w:rsidRPr="00281EDC" w:rsidRDefault="00A32E1E" w:rsidP="00281EDC">
      <w:pPr>
        <w:spacing w:after="0" w:line="240" w:lineRule="auto"/>
        <w:outlineLvl w:val="2"/>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Abstract</w:t>
      </w:r>
    </w:p>
    <w:p w:rsidR="00A32E1E" w:rsidRPr="00281EDC" w:rsidRDefault="00A32E1E" w:rsidP="00281EDC">
      <w:pPr>
        <w:spacing w:after="0"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This study examines whether survivors’ satisfaction with the reintegration process is associated with the promises of employment or financial support made by rehabilitation centres. Using chi-square analysis on data collected from 84 survivors, the study explores two hypotheses whether satisfaction correlates with employment assurances, and whether it relates to financial support assurances. Findings reveal no statistically significant associations in either case. While descriptive trends suggest that many satisfied survivors reported receiving or being uncertain about such promises, these relationships are not strong enough to be statistically meaningful. The results indicate that survivor satisfaction with reintegration depends on broader psychosocial and institutional factors beyond employment or financial assurances alone. The study emphasizes the need for holistic, participatory, and trust-building rehabilitation programs that go beyond verbal commitments.</w:t>
      </w:r>
    </w:p>
    <w:p w:rsidR="00C770F6" w:rsidRPr="00281EDC" w:rsidRDefault="00A32E1E" w:rsidP="00281EDC">
      <w:pPr>
        <w:spacing w:before="100" w:beforeAutospacing="1" w:after="100" w:afterAutospacing="1" w:line="240" w:lineRule="auto"/>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Keywords:</w:t>
      </w:r>
      <w:r w:rsidRPr="00281EDC">
        <w:rPr>
          <w:rFonts w:ascii="Times New Roman" w:eastAsia="Times New Roman" w:hAnsi="Times New Roman" w:cs="Times New Roman"/>
          <w:sz w:val="24"/>
          <w:szCs w:val="24"/>
        </w:rPr>
        <w:t xml:space="preserve"> Reintegration, Rehabilitation, Employment Assurance, Financial Support, Survivors, Chi-square Test</w:t>
      </w:r>
    </w:p>
    <w:p w:rsidR="00C770F6" w:rsidRPr="00281EDC" w:rsidRDefault="00A32E1E" w:rsidP="00281EDC">
      <w:pPr>
        <w:spacing w:before="100" w:beforeAutospacing="1" w:after="100" w:afterAutospacing="1" w:line="240" w:lineRule="auto"/>
        <w:outlineLvl w:val="2"/>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Introduction</w:t>
      </w:r>
    </w:p>
    <w:p w:rsidR="00A32E1E" w:rsidRPr="00281EDC" w:rsidRDefault="00A32E1E" w:rsidP="00281ED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81EDC">
        <w:rPr>
          <w:rFonts w:ascii="Times New Roman" w:eastAsia="Times New Roman" w:hAnsi="Times New Roman" w:cs="Times New Roman"/>
          <w:sz w:val="24"/>
          <w:szCs w:val="24"/>
        </w:rPr>
        <w:t>Reintegration is one of the most critical stages in the rehabilitation process for survivors of human trafficking, gender-based violence, and other forms of exploitation. It aims to restore survivors’ self-reliance, dignity, and social inclusion by providing essential services such as skill training, livelihood opportunities, and psychosocial counseling. However, despite institutional promises of employment and financial support, the perceived satisfaction with reintegration outcomes varies widely among survivors.</w:t>
      </w:r>
    </w:p>
    <w:p w:rsidR="00D234CB" w:rsidRPr="00281EDC" w:rsidRDefault="00A32E1E" w:rsidP="00281EDC">
      <w:p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While some individuals view employment or financial assurance as indicators of successful reintegration, others emphasize social acceptance, family reconciliation, and psychological healing as more important. Thus, the relationship between reintegration satisfaction and institutional assurances remains complex and underexplored. This study empirically investigates whether survivors’ overall opinion of the reintegration process is significantly associated with (i) promises of employment opportunities and (ii) assurances of financial support provided by rehabilitation centres.</w:t>
      </w:r>
    </w:p>
    <w:p w:rsidR="0092495B" w:rsidRPr="00281EDC" w:rsidRDefault="0092495B" w:rsidP="00281EDC">
      <w:pPr>
        <w:pStyle w:val="Heading2"/>
        <w:rPr>
          <w:sz w:val="24"/>
          <w:szCs w:val="24"/>
        </w:rPr>
      </w:pPr>
      <w:r w:rsidRPr="00281EDC">
        <w:rPr>
          <w:rStyle w:val="Strong"/>
          <w:b/>
          <w:bCs/>
          <w:sz w:val="24"/>
          <w:szCs w:val="24"/>
        </w:rPr>
        <w:t>Literature Review</w:t>
      </w:r>
    </w:p>
    <w:p w:rsidR="0092495B" w:rsidRPr="00281EDC" w:rsidRDefault="0092495B" w:rsidP="00281EDC">
      <w:pPr>
        <w:pStyle w:val="NormalWeb"/>
        <w:jc w:val="both"/>
      </w:pPr>
      <w:r w:rsidRPr="00281EDC">
        <w:t xml:space="preserve">Reintegration is one of the most challenging yet crucial phases in the rehabilitation of survivors of trafficking, gender-based violence, and exploitation. It involves rebuilding social identity, </w:t>
      </w:r>
      <w:r w:rsidRPr="00281EDC">
        <w:lastRenderedPageBreak/>
        <w:t>emotional resilience, and community belonging beyond the confines of institutional care [1]. Although most rehabilitation programs emphasize livelihood and financial empowerment, recent evidence indicates that psychosocial well-being and community acceptance are equally critical for sustainable reintegration outcomes [2].</w:t>
      </w:r>
    </w:p>
    <w:p w:rsidR="0092495B" w:rsidRPr="00281EDC" w:rsidRDefault="0092495B" w:rsidP="00281EDC">
      <w:pPr>
        <w:pStyle w:val="NormalWeb"/>
        <w:jc w:val="both"/>
      </w:pPr>
      <w:r w:rsidRPr="00281EDC">
        <w:rPr>
          <w:rStyle w:val="Strong"/>
        </w:rPr>
        <w:t>Samuelkamaleshkumar et al. (2010)</w:t>
      </w:r>
      <w:r w:rsidRPr="00281EDC">
        <w:t xml:space="preserve"> [3] demonstrated that among individuals with spinal cord injuries in South India, reintegration success depended on family acceptance, community participation, and psychosocial adjustment rather than economic resources alone. This finding provides a strong conceptual parallel to vulnerable survivor groups, highlighting that rehabilitation effectiveness depends on social and emotional support systems.</w:t>
      </w:r>
    </w:p>
    <w:p w:rsidR="0092495B" w:rsidRPr="00281EDC" w:rsidRDefault="0092495B" w:rsidP="00281EDC">
      <w:pPr>
        <w:pStyle w:val="NormalWeb"/>
        <w:jc w:val="both"/>
      </w:pPr>
      <w:r w:rsidRPr="00281EDC">
        <w:t xml:space="preserve">Similarly, </w:t>
      </w:r>
      <w:r w:rsidRPr="00281EDC">
        <w:rPr>
          <w:rStyle w:val="Strong"/>
        </w:rPr>
        <w:t>Andreu et al. (2023)</w:t>
      </w:r>
      <w:r w:rsidRPr="00281EDC">
        <w:t xml:space="preserve"> [4] established that employment and psychological well-being are closely linked among cancer survivors; regular psychosocial guidance improved self-efficacy and social integration. Their study underscores that the effectiveness of any economic rehabilitation initiative is contingent on prior emotional stability and counseling.</w:t>
      </w:r>
    </w:p>
    <w:p w:rsidR="0092495B" w:rsidRPr="00281EDC" w:rsidRDefault="0092495B" w:rsidP="00281EDC">
      <w:pPr>
        <w:pStyle w:val="NormalWeb"/>
        <w:jc w:val="both"/>
      </w:pPr>
      <w:r w:rsidRPr="00281EDC">
        <w:rPr>
          <w:rStyle w:val="Strong"/>
        </w:rPr>
        <w:t>Greidanus et al. (2024)</w:t>
      </w:r>
      <w:r w:rsidRPr="00281EDC">
        <w:t xml:space="preserve"> [5] supported this claim through focus-group research with work-disabled survivors, revealing that trust, empathy, and follow-up counseling are the most decisive elements of reintegration satisfaction. Participants expressed that individualized attention and institutional sensitivity outweighed the material components of rehabilitation.</w:t>
      </w:r>
    </w:p>
    <w:p w:rsidR="0092495B" w:rsidRPr="00281EDC" w:rsidRDefault="0092495B" w:rsidP="00281EDC">
      <w:pPr>
        <w:pStyle w:val="NormalWeb"/>
        <w:jc w:val="both"/>
      </w:pPr>
      <w:r w:rsidRPr="00281EDC">
        <w:t xml:space="preserve">The importance of structured psychosocial interventions also emerges in the work of </w:t>
      </w:r>
      <w:r w:rsidRPr="00281EDC">
        <w:rPr>
          <w:rStyle w:val="Strong"/>
        </w:rPr>
        <w:t>Kilpatrick et al. (2021)</w:t>
      </w:r>
      <w:r w:rsidRPr="00281EDC">
        <w:t xml:space="preserve"> [6], who evaluated social reintegration among burn survivors. They found that institutional credibility and emotional engagement significantly increased satisfaction, whereas unmet financial or employment promises reduced trust. This mirrors the Indian rehabilitation context, where the credibility of assurances is as vital as the assistance itself.</w:t>
      </w:r>
    </w:p>
    <w:p w:rsidR="0092495B" w:rsidRPr="00281EDC" w:rsidRDefault="0092495B" w:rsidP="00281EDC">
      <w:pPr>
        <w:pStyle w:val="NormalWeb"/>
        <w:jc w:val="both"/>
      </w:pPr>
      <w:r w:rsidRPr="00281EDC">
        <w:t xml:space="preserve">At the community level, </w:t>
      </w:r>
      <w:r w:rsidRPr="00281EDC">
        <w:rPr>
          <w:rStyle w:val="Strong"/>
        </w:rPr>
        <w:t>Nizeyimana (2025)</w:t>
      </w:r>
      <w:r w:rsidRPr="00281EDC">
        <w:t xml:space="preserve"> [7] proposed a multidimensional model of reintegration that incorporates emotional stability, housing, and livelihood restoration. The study emphasized that sustainable reintegration occurs when survivors are socially accepted and supported by their local communities. This aligns with the perspective that community acceptance enhances confidence, belonging, and reintegration satisfaction.</w:t>
      </w:r>
    </w:p>
    <w:p w:rsidR="0092495B" w:rsidRPr="00281EDC" w:rsidRDefault="0092495B" w:rsidP="00281EDC">
      <w:pPr>
        <w:pStyle w:val="NormalWeb"/>
        <w:jc w:val="both"/>
      </w:pPr>
      <w:r w:rsidRPr="00281EDC">
        <w:t xml:space="preserve">Likewise, </w:t>
      </w:r>
      <w:r w:rsidRPr="00281EDC">
        <w:rPr>
          <w:rStyle w:val="Strong"/>
        </w:rPr>
        <w:t>Joshi (2025)</w:t>
      </w:r>
      <w:r w:rsidRPr="00281EDC">
        <w:t xml:space="preserve"> [8] examined sex-trafficking survivors in South Asia and found that community stigma and institutional mistrust significantly hindered reintegration outcomes, even in the presence of financial support. The study advocates participatory reintegration frameworks that foster empathy, trust, and survivor agency.</w:t>
      </w:r>
    </w:p>
    <w:p w:rsidR="0092495B" w:rsidRPr="00281EDC" w:rsidRDefault="0092495B" w:rsidP="00281EDC">
      <w:pPr>
        <w:pStyle w:val="NormalWeb"/>
        <w:jc w:val="both"/>
      </w:pPr>
      <w:r w:rsidRPr="00281EDC">
        <w:t xml:space="preserve">Complementary Indian studies, such as </w:t>
      </w:r>
      <w:r w:rsidRPr="00281EDC">
        <w:rPr>
          <w:rStyle w:val="Strong"/>
        </w:rPr>
        <w:t>Ghosh (2019)</w:t>
      </w:r>
      <w:r w:rsidRPr="00281EDC">
        <w:t xml:space="preserve"> [9] and </w:t>
      </w:r>
      <w:r w:rsidRPr="00281EDC">
        <w:rPr>
          <w:rStyle w:val="Strong"/>
        </w:rPr>
        <w:t>Pandey &amp; Singh (2022)</w:t>
      </w:r>
      <w:r w:rsidRPr="00281EDC">
        <w:t xml:space="preserve"> [10], have emphasized policy and practice gaps in India’s rehabilitation systems. Both note that existing programs often prioritize economic and infrastructural inputs while neglecting emotional counseling, trauma recovery, and post-reintegration monitoring.</w:t>
      </w:r>
    </w:p>
    <w:p w:rsidR="0092495B" w:rsidRPr="00281EDC" w:rsidRDefault="0092495B" w:rsidP="00281EDC">
      <w:pPr>
        <w:pStyle w:val="NormalWeb"/>
        <w:jc w:val="both"/>
      </w:pPr>
      <w:r w:rsidRPr="00281EDC">
        <w:t>Together, these studies confirm that psychosocial and community-level factors—counseling quality, social trust, and inclusion play a decisive role in shaping survivors’ reintegration satisfaction. However, most available evidence remains qualitative or foreign in origin, indicating a lack of quantitative validation in the Indian socio-cultural context.</w:t>
      </w:r>
    </w:p>
    <w:p w:rsidR="0092495B" w:rsidRPr="00281EDC" w:rsidRDefault="0092495B" w:rsidP="00281EDC">
      <w:pPr>
        <w:pStyle w:val="Heading2"/>
        <w:rPr>
          <w:sz w:val="24"/>
          <w:szCs w:val="24"/>
        </w:rPr>
      </w:pPr>
      <w:r w:rsidRPr="00281EDC">
        <w:rPr>
          <w:rStyle w:val="Strong"/>
          <w:b/>
          <w:bCs/>
          <w:sz w:val="24"/>
          <w:szCs w:val="24"/>
        </w:rPr>
        <w:lastRenderedPageBreak/>
        <w:t>Research Gap</w:t>
      </w:r>
    </w:p>
    <w:p w:rsidR="0092495B" w:rsidRPr="00281EDC" w:rsidRDefault="0092495B" w:rsidP="00281EDC">
      <w:pPr>
        <w:pStyle w:val="NormalWeb"/>
        <w:jc w:val="both"/>
      </w:pPr>
      <w:r w:rsidRPr="00281EDC">
        <w:t xml:space="preserve">While Indian rehabilitation literature has extensively discussed livelihood programs and financial support mechanisms [9, 10], few studies have systematically examined </w:t>
      </w:r>
      <w:r w:rsidRPr="00281EDC">
        <w:rPr>
          <w:rStyle w:val="Strong"/>
          <w:b w:val="0"/>
        </w:rPr>
        <w:t>how psychosocial counseling and community acceptance affect survivor satisfaction with reintegration</w:t>
      </w:r>
      <w:r w:rsidRPr="00281EDC">
        <w:t>. The majority of previous works are descriptive, with minimal use of quantitative techniques to establish statistical associations between emotional support and reintegration outcomes.</w:t>
      </w:r>
    </w:p>
    <w:p w:rsidR="0092495B" w:rsidRPr="00281EDC" w:rsidRDefault="0092495B" w:rsidP="00281EDC">
      <w:pPr>
        <w:pStyle w:val="NormalWeb"/>
        <w:jc w:val="both"/>
      </w:pPr>
      <w:r w:rsidRPr="00281EDC">
        <w:t xml:space="preserve">Further, international research on reintegration and counseling [3–8] provides valuable theoretical frameworks but lacks contextual adaptability to India, where survivors face unique social stigmas, caste hierarchies, and limited post-rehabilitation follow-up. Consequently, there remains a </w:t>
      </w:r>
      <w:r w:rsidRPr="00281EDC">
        <w:rPr>
          <w:rStyle w:val="Strong"/>
          <w:b w:val="0"/>
        </w:rPr>
        <w:t>critical empirical gap</w:t>
      </w:r>
      <w:r w:rsidRPr="00281EDC">
        <w:t xml:space="preserve"> in understanding:</w:t>
      </w:r>
    </w:p>
    <w:p w:rsidR="0092495B" w:rsidRPr="00281EDC" w:rsidRDefault="0092495B" w:rsidP="00281EDC">
      <w:pPr>
        <w:pStyle w:val="NormalWeb"/>
        <w:numPr>
          <w:ilvl w:val="0"/>
          <w:numId w:val="5"/>
        </w:numPr>
        <w:jc w:val="both"/>
      </w:pPr>
      <w:r w:rsidRPr="00281EDC">
        <w:t>Whether consistent psychosocial counseling enhances survivors’ perception of reintegration success.</w:t>
      </w:r>
    </w:p>
    <w:p w:rsidR="0092495B" w:rsidRPr="00281EDC" w:rsidRDefault="0092495B" w:rsidP="00281EDC">
      <w:pPr>
        <w:pStyle w:val="NormalWeb"/>
        <w:numPr>
          <w:ilvl w:val="0"/>
          <w:numId w:val="5"/>
        </w:numPr>
        <w:jc w:val="both"/>
      </w:pPr>
      <w:r w:rsidRPr="00281EDC">
        <w:t>How community stigma or acceptance shapes satisfaction and emotional stability.</w:t>
      </w:r>
    </w:p>
    <w:p w:rsidR="0092495B" w:rsidRPr="00281EDC" w:rsidRDefault="0092495B" w:rsidP="00281EDC">
      <w:pPr>
        <w:pStyle w:val="NormalWeb"/>
        <w:numPr>
          <w:ilvl w:val="0"/>
          <w:numId w:val="5"/>
        </w:numPr>
        <w:jc w:val="both"/>
      </w:pPr>
      <w:r w:rsidRPr="00281EDC">
        <w:t>Whether rehabilitation institutions can integrate psychosocial, economic, and community-based interventions to achieve sustainable reintegration.</w:t>
      </w:r>
    </w:p>
    <w:p w:rsidR="0092495B" w:rsidRPr="00281EDC" w:rsidRDefault="0092495B" w:rsidP="00281EDC">
      <w:pPr>
        <w:pStyle w:val="NormalWeb"/>
        <w:jc w:val="both"/>
      </w:pPr>
      <w:r w:rsidRPr="00281EDC">
        <w:t xml:space="preserve">Addressing these gaps, the present study adopts a </w:t>
      </w:r>
      <w:r w:rsidRPr="00281EDC">
        <w:rPr>
          <w:rStyle w:val="Strong"/>
          <w:b w:val="0"/>
        </w:rPr>
        <w:t>quantitative, chi-square–based approach</w:t>
      </w:r>
      <w:r w:rsidRPr="00281EDC">
        <w:t xml:space="preserve"> to test associations between reintegration satisfaction, psychosocial counseling, and community acceptance. It contributes to both policy and scholarship by shifting attention from </w:t>
      </w:r>
      <w:r w:rsidRPr="00281EDC">
        <w:rPr>
          <w:rStyle w:val="Strong"/>
          <w:b w:val="0"/>
        </w:rPr>
        <w:t>promise-based</w:t>
      </w:r>
      <w:r w:rsidRPr="00281EDC">
        <w:t xml:space="preserve"> rehabilitation models to </w:t>
      </w:r>
      <w:r w:rsidRPr="00281EDC">
        <w:rPr>
          <w:rStyle w:val="Strong"/>
          <w:b w:val="0"/>
        </w:rPr>
        <w:t>trust- and empathy-based</w:t>
      </w:r>
      <w:r w:rsidRPr="00281EDC">
        <w:t xml:space="preserve"> reintegration frameworks grounded in survivors’ lived experiences.</w:t>
      </w:r>
    </w:p>
    <w:p w:rsidR="00A32E1E" w:rsidRPr="00281EDC" w:rsidRDefault="00A32E1E" w:rsidP="00281EDC">
      <w:pPr>
        <w:spacing w:before="100" w:beforeAutospacing="1" w:after="100" w:afterAutospacing="1" w:line="240" w:lineRule="auto"/>
        <w:outlineLvl w:val="2"/>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Objectives and Hypotheses</w:t>
      </w:r>
    </w:p>
    <w:p w:rsidR="00A32E1E" w:rsidRPr="00281EDC" w:rsidRDefault="00A32E1E" w:rsidP="00281EDC">
      <w:p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The study aims to evaluate the relationship between perceptions of reintegration success and the commitments made by rehabilitation centres</w:t>
      </w:r>
      <w:r w:rsidR="000645C6" w:rsidRPr="00281EDC">
        <w:rPr>
          <w:rFonts w:ascii="Times New Roman" w:eastAsia="Times New Roman" w:hAnsi="Times New Roman" w:cs="Times New Roman"/>
          <w:sz w:val="24"/>
          <w:szCs w:val="24"/>
        </w:rPr>
        <w:t xml:space="preserve"> for trafficked women in Karnataka</w:t>
      </w:r>
      <w:r w:rsidRPr="00281EDC">
        <w:rPr>
          <w:rFonts w:ascii="Times New Roman" w:eastAsia="Times New Roman" w:hAnsi="Times New Roman" w:cs="Times New Roman"/>
          <w:sz w:val="24"/>
          <w:szCs w:val="24"/>
        </w:rPr>
        <w:t xml:space="preserve"> regarding employment and financial support.</w:t>
      </w:r>
    </w:p>
    <w:p w:rsidR="00A32E1E" w:rsidRPr="00281EDC" w:rsidRDefault="00A32E1E" w:rsidP="00281EDC">
      <w:p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Hypothesis IV:</w:t>
      </w:r>
    </w:p>
    <w:p w:rsidR="00A32E1E" w:rsidRPr="00281EDC" w:rsidRDefault="00A32E1E" w:rsidP="00281ED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H₀:</w:t>
      </w:r>
      <w:r w:rsidRPr="00281EDC">
        <w:rPr>
          <w:rFonts w:ascii="Times New Roman" w:eastAsia="Times New Roman" w:hAnsi="Times New Roman" w:cs="Times New Roman"/>
          <w:sz w:val="24"/>
          <w:szCs w:val="24"/>
        </w:rPr>
        <w:t xml:space="preserve"> There is no significant association between survivors’ overall opinion about the reintegration process and whether the centre has promised employment opportunities.</w:t>
      </w:r>
    </w:p>
    <w:p w:rsidR="00A32E1E" w:rsidRPr="00281EDC" w:rsidRDefault="00A32E1E" w:rsidP="00281ED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H₁:</w:t>
      </w:r>
      <w:r w:rsidRPr="00281EDC">
        <w:rPr>
          <w:rFonts w:ascii="Times New Roman" w:eastAsia="Times New Roman" w:hAnsi="Times New Roman" w:cs="Times New Roman"/>
          <w:sz w:val="24"/>
          <w:szCs w:val="24"/>
        </w:rPr>
        <w:t xml:space="preserve"> There is a significant association between survivors’ overall opinion about the reintegration process and whether the centre has promised employment opportunities.</w:t>
      </w:r>
    </w:p>
    <w:p w:rsidR="00A32E1E" w:rsidRPr="00281EDC" w:rsidRDefault="00A32E1E" w:rsidP="00281EDC">
      <w:p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Hypothesis V:</w:t>
      </w:r>
    </w:p>
    <w:p w:rsidR="00A32E1E" w:rsidRPr="00281EDC" w:rsidRDefault="00A32E1E" w:rsidP="00281ED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H₀:</w:t>
      </w:r>
      <w:r w:rsidRPr="00281EDC">
        <w:rPr>
          <w:rFonts w:ascii="Times New Roman" w:eastAsia="Times New Roman" w:hAnsi="Times New Roman" w:cs="Times New Roman"/>
          <w:sz w:val="24"/>
          <w:szCs w:val="24"/>
        </w:rPr>
        <w:t xml:space="preserve"> There is no significant association between survivors’ overall opinion about the reintegration process and whether the centre has assured financial support.</w:t>
      </w:r>
    </w:p>
    <w:p w:rsidR="00A32E1E" w:rsidRDefault="00A32E1E" w:rsidP="00281ED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H₁:</w:t>
      </w:r>
      <w:r w:rsidRPr="00281EDC">
        <w:rPr>
          <w:rFonts w:ascii="Times New Roman" w:eastAsia="Times New Roman" w:hAnsi="Times New Roman" w:cs="Times New Roman"/>
          <w:sz w:val="24"/>
          <w:szCs w:val="24"/>
        </w:rPr>
        <w:t xml:space="preserve"> There is a significant association between survivors’ overall opinion about the reintegration process and whether the centre has assured financial support.</w:t>
      </w:r>
    </w:p>
    <w:p w:rsidR="00281EDC" w:rsidRPr="00281EDC" w:rsidRDefault="00281EDC" w:rsidP="00281EDC">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p>
    <w:p w:rsidR="00A32E1E" w:rsidRPr="00281EDC" w:rsidRDefault="00A32E1E" w:rsidP="00281EDC">
      <w:pPr>
        <w:spacing w:before="100" w:beforeAutospacing="1" w:after="100" w:afterAutospacing="1" w:line="240" w:lineRule="auto"/>
        <w:outlineLvl w:val="2"/>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lastRenderedPageBreak/>
        <w:t xml:space="preserve"> Methodology</w:t>
      </w:r>
    </w:p>
    <w:p w:rsidR="0092495B" w:rsidRPr="00281EDC" w:rsidRDefault="00A32E1E" w:rsidP="00281EDC">
      <w:p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 xml:space="preserve">The study used a </w:t>
      </w:r>
      <w:r w:rsidRPr="00281EDC">
        <w:rPr>
          <w:rFonts w:ascii="Times New Roman" w:eastAsia="Times New Roman" w:hAnsi="Times New Roman" w:cs="Times New Roman"/>
          <w:bCs/>
          <w:sz w:val="24"/>
          <w:szCs w:val="24"/>
        </w:rPr>
        <w:t>cross-sectional survey design</w:t>
      </w:r>
      <w:r w:rsidRPr="00281EDC">
        <w:rPr>
          <w:rFonts w:ascii="Times New Roman" w:eastAsia="Times New Roman" w:hAnsi="Times New Roman" w:cs="Times New Roman"/>
          <w:sz w:val="24"/>
          <w:szCs w:val="24"/>
        </w:rPr>
        <w:t xml:space="preserve">, drawing data from </w:t>
      </w:r>
      <w:r w:rsidRPr="00281EDC">
        <w:rPr>
          <w:rFonts w:ascii="Times New Roman" w:eastAsia="Times New Roman" w:hAnsi="Times New Roman" w:cs="Times New Roman"/>
          <w:bCs/>
          <w:sz w:val="24"/>
          <w:szCs w:val="24"/>
        </w:rPr>
        <w:t>84 survivors</w:t>
      </w:r>
      <w:r w:rsidRPr="00281EDC">
        <w:rPr>
          <w:rFonts w:ascii="Times New Roman" w:eastAsia="Times New Roman" w:hAnsi="Times New Roman" w:cs="Times New Roman"/>
          <w:sz w:val="24"/>
          <w:szCs w:val="24"/>
        </w:rPr>
        <w:t xml:space="preserve"> rehabilitated through government- or NGO-run centres</w:t>
      </w:r>
      <w:r w:rsidR="000645C6" w:rsidRPr="00281EDC">
        <w:rPr>
          <w:rFonts w:ascii="Times New Roman" w:eastAsia="Times New Roman" w:hAnsi="Times New Roman" w:cs="Times New Roman"/>
          <w:sz w:val="24"/>
          <w:szCs w:val="24"/>
        </w:rPr>
        <w:t xml:space="preserve"> in Karnataka,</w:t>
      </w:r>
      <w:r w:rsidRPr="00281EDC">
        <w:rPr>
          <w:rFonts w:ascii="Times New Roman" w:eastAsia="Times New Roman" w:hAnsi="Times New Roman" w:cs="Times New Roman"/>
          <w:sz w:val="24"/>
          <w:szCs w:val="24"/>
        </w:rPr>
        <w:t xml:space="preserve"> Respondents provided information on their satisfaction with reintegration and whether they were promised employment or financial support Data were analyzed using </w:t>
      </w:r>
      <w:r w:rsidRPr="00281EDC">
        <w:rPr>
          <w:rFonts w:ascii="Times New Roman" w:eastAsia="Times New Roman" w:hAnsi="Times New Roman" w:cs="Times New Roman"/>
          <w:b/>
          <w:bCs/>
          <w:sz w:val="24"/>
          <w:szCs w:val="24"/>
        </w:rPr>
        <w:t>Pearson’s Chi-square test</w:t>
      </w:r>
      <w:r w:rsidRPr="00281EDC">
        <w:rPr>
          <w:rFonts w:ascii="Times New Roman" w:eastAsia="Times New Roman" w:hAnsi="Times New Roman" w:cs="Times New Roman"/>
          <w:sz w:val="24"/>
          <w:szCs w:val="24"/>
        </w:rPr>
        <w:t>, with statistical significance determined at the 5% level (p &lt; 0.05). Additional goodness-of-fit measures such as Likelihood Ratio and Linear-by-Linear Association were also computed for validation.</w:t>
      </w:r>
    </w:p>
    <w:p w:rsidR="00A32E1E" w:rsidRPr="00281EDC" w:rsidRDefault="00A32E1E" w:rsidP="00281EDC">
      <w:pPr>
        <w:spacing w:before="100" w:beforeAutospacing="1" w:after="100" w:afterAutospacing="1" w:line="240" w:lineRule="auto"/>
        <w:outlineLvl w:val="2"/>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Results and Interpretation</w:t>
      </w:r>
    </w:p>
    <w:p w:rsidR="00D234CB" w:rsidRPr="00281EDC" w:rsidRDefault="00D234CB" w:rsidP="00281EDC">
      <w:pPr>
        <w:spacing w:line="240" w:lineRule="auto"/>
        <w:rPr>
          <w:rFonts w:ascii="Times New Roman" w:hAnsi="Times New Roman" w:cs="Times New Roman"/>
          <w:b/>
          <w:sz w:val="24"/>
          <w:szCs w:val="24"/>
        </w:rPr>
      </w:pPr>
      <w:r w:rsidRPr="00281EDC">
        <w:rPr>
          <w:rFonts w:ascii="Times New Roman" w:hAnsi="Times New Roman" w:cs="Times New Roman"/>
          <w:b/>
          <w:sz w:val="24"/>
          <w:szCs w:val="24"/>
        </w:rPr>
        <w:t>Hypothesis No IV</w:t>
      </w:r>
    </w:p>
    <w:p w:rsidR="00D234CB" w:rsidRPr="00281EDC" w:rsidRDefault="00D234CB" w:rsidP="00281EDC">
      <w:pPr>
        <w:pStyle w:val="NormalWeb"/>
        <w:jc w:val="both"/>
      </w:pPr>
      <w:r w:rsidRPr="00281EDC">
        <w:rPr>
          <w:rStyle w:val="Strong"/>
        </w:rPr>
        <w:t>H₀ (Null):</w:t>
      </w:r>
      <w:r w:rsidRPr="00281EDC">
        <w:t xml:space="preserve"> There is </w:t>
      </w:r>
      <w:r w:rsidRPr="00281EDC">
        <w:rPr>
          <w:rStyle w:val="Strong"/>
          <w:b w:val="0"/>
        </w:rPr>
        <w:t>no significant association</w:t>
      </w:r>
      <w:r w:rsidRPr="00281EDC">
        <w:t xml:space="preserve"> between survivors’ overall opinion about the reintegration process and whether the centre has promised employment opportunities.</w:t>
      </w:r>
    </w:p>
    <w:p w:rsidR="00D234CB" w:rsidRPr="00281EDC" w:rsidRDefault="00D234CB" w:rsidP="00281EDC">
      <w:pPr>
        <w:pStyle w:val="NormalWeb"/>
        <w:jc w:val="both"/>
      </w:pPr>
      <w:r w:rsidRPr="00281EDC">
        <w:rPr>
          <w:rStyle w:val="Strong"/>
        </w:rPr>
        <w:t>H₁ (Alternative):</w:t>
      </w:r>
      <w:r w:rsidRPr="00281EDC">
        <w:t xml:space="preserve"> There is a </w:t>
      </w:r>
      <w:r w:rsidRPr="00281EDC">
        <w:rPr>
          <w:rStyle w:val="Strong"/>
          <w:b w:val="0"/>
        </w:rPr>
        <w:t>significant association</w:t>
      </w:r>
      <w:r w:rsidRPr="00281EDC">
        <w:t xml:space="preserve"> between survivors’ overall opinion about the reintegration process and whether the centre has promised employment opportunities.</w:t>
      </w:r>
    </w:p>
    <w:p w:rsidR="00D234CB" w:rsidRPr="00281EDC" w:rsidRDefault="00D234CB" w:rsidP="00281EDC">
      <w:pPr>
        <w:spacing w:line="240" w:lineRule="auto"/>
        <w:rPr>
          <w:rFonts w:ascii="Times New Roman" w:hAnsi="Times New Roman" w:cs="Times New Roman"/>
          <w:sz w:val="24"/>
          <w:szCs w:val="24"/>
        </w:rPr>
      </w:pPr>
      <w:r w:rsidRPr="00281EDC">
        <w:rPr>
          <w:rFonts w:ascii="Times New Roman" w:hAnsi="Times New Roman" w:cs="Times New Roman"/>
          <w:sz w:val="24"/>
          <w:szCs w:val="24"/>
        </w:rPr>
        <w:t>Table. Crosstabulation of Reintegration Opinion and Promised Employment with Chi-Square Results</w:t>
      </w:r>
    </w:p>
    <w:tbl>
      <w:tblPr>
        <w:tblStyle w:val="TableGrid"/>
        <w:tblW w:w="0" w:type="auto"/>
        <w:tblLook w:val="04A0" w:firstRow="1" w:lastRow="0" w:firstColumn="1" w:lastColumn="0" w:noHBand="0" w:noVBand="1"/>
      </w:tblPr>
      <w:tblGrid>
        <w:gridCol w:w="3246"/>
        <w:gridCol w:w="3088"/>
        <w:gridCol w:w="636"/>
        <w:gridCol w:w="516"/>
        <w:gridCol w:w="1101"/>
        <w:gridCol w:w="763"/>
      </w:tblGrid>
      <w:tr w:rsidR="00D234CB" w:rsidRPr="00281EDC" w:rsidTr="005E59D4">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Variable 1: Overall opinion on reintegration process</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Variable 2: Promised employment opportunities</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Yes</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No</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Don’t Know</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Total</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Highly Satisfied</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17</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Expected 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6.1</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9.9</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17</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Satisfied</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23</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33</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60</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Expected 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21.4</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3.6</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35.0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60</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Neutral</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7</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Expected 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2.5</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0.4</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4.1</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7</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Total</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5</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49</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84</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Expected 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30.0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5.0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49.0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84</w:t>
            </w:r>
          </w:p>
        </w:tc>
      </w:tr>
    </w:tbl>
    <w:p w:rsidR="00D234CB" w:rsidRPr="00281EDC" w:rsidRDefault="00D234CB" w:rsidP="00281EDC">
      <w:pPr>
        <w:spacing w:line="240" w:lineRule="auto"/>
        <w:rPr>
          <w:rFonts w:ascii="Times New Roman" w:hAnsi="Times New Roman" w:cs="Times New Roman"/>
          <w:sz w:val="24"/>
          <w:szCs w:val="24"/>
        </w:rPr>
      </w:pPr>
    </w:p>
    <w:p w:rsidR="00D234CB" w:rsidRPr="00281EDC" w:rsidRDefault="00D234CB" w:rsidP="00281EDC">
      <w:pPr>
        <w:spacing w:line="240" w:lineRule="auto"/>
        <w:rPr>
          <w:rFonts w:ascii="Times New Roman" w:hAnsi="Times New Roman" w:cs="Times New Roman"/>
          <w:b/>
          <w:sz w:val="24"/>
          <w:szCs w:val="24"/>
        </w:rPr>
      </w:pPr>
      <w:r w:rsidRPr="00281EDC">
        <w:rPr>
          <w:rFonts w:ascii="Times New Roman" w:hAnsi="Times New Roman" w:cs="Times New Roman"/>
          <w:b/>
          <w:sz w:val="24"/>
          <w:szCs w:val="24"/>
        </w:rPr>
        <w:t>Chi-Square Test Results</w:t>
      </w:r>
    </w:p>
    <w:tbl>
      <w:tblPr>
        <w:tblStyle w:val="TableGrid"/>
        <w:tblW w:w="0" w:type="auto"/>
        <w:tblLook w:val="04A0" w:firstRow="1" w:lastRow="0" w:firstColumn="1" w:lastColumn="0" w:noHBand="0" w:noVBand="1"/>
      </w:tblPr>
      <w:tblGrid>
        <w:gridCol w:w="3313"/>
        <w:gridCol w:w="822"/>
        <w:gridCol w:w="720"/>
        <w:gridCol w:w="1530"/>
        <w:gridCol w:w="2880"/>
      </w:tblGrid>
      <w:tr w:rsidR="00D234CB" w:rsidRPr="00281EDC" w:rsidTr="00C1399A">
        <w:tc>
          <w:tcPr>
            <w:tcW w:w="3313" w:type="dxa"/>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Test</w:t>
            </w:r>
          </w:p>
        </w:tc>
        <w:tc>
          <w:tcPr>
            <w:tcW w:w="822" w:type="dxa"/>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Value</w:t>
            </w:r>
          </w:p>
        </w:tc>
        <w:tc>
          <w:tcPr>
            <w:tcW w:w="720" w:type="dxa"/>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df</w:t>
            </w:r>
          </w:p>
        </w:tc>
        <w:tc>
          <w:tcPr>
            <w:tcW w:w="1530" w:type="dxa"/>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p-value</w:t>
            </w:r>
          </w:p>
        </w:tc>
        <w:tc>
          <w:tcPr>
            <w:tcW w:w="2880" w:type="dxa"/>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Interpretation</w:t>
            </w:r>
          </w:p>
        </w:tc>
      </w:tr>
      <w:tr w:rsidR="00D234CB" w:rsidRPr="00281EDC" w:rsidTr="00C1399A">
        <w:tc>
          <w:tcPr>
            <w:tcW w:w="3313"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Pearson Chi-Square</w:t>
            </w:r>
          </w:p>
        </w:tc>
        <w:tc>
          <w:tcPr>
            <w:tcW w:w="822"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2.499</w:t>
            </w:r>
          </w:p>
        </w:tc>
        <w:tc>
          <w:tcPr>
            <w:tcW w:w="720"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w:t>
            </w:r>
          </w:p>
        </w:tc>
        <w:tc>
          <w:tcPr>
            <w:tcW w:w="1530"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0.645</w:t>
            </w:r>
          </w:p>
        </w:tc>
        <w:tc>
          <w:tcPr>
            <w:tcW w:w="2880"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Not significant</w:t>
            </w:r>
          </w:p>
        </w:tc>
      </w:tr>
      <w:tr w:rsidR="00D234CB" w:rsidRPr="00281EDC" w:rsidTr="00C1399A">
        <w:tc>
          <w:tcPr>
            <w:tcW w:w="3313"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Likelihood Ratio</w:t>
            </w:r>
          </w:p>
        </w:tc>
        <w:tc>
          <w:tcPr>
            <w:tcW w:w="822"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3.066</w:t>
            </w:r>
          </w:p>
        </w:tc>
        <w:tc>
          <w:tcPr>
            <w:tcW w:w="720"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w:t>
            </w:r>
          </w:p>
        </w:tc>
        <w:tc>
          <w:tcPr>
            <w:tcW w:w="1530"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0.547</w:t>
            </w:r>
          </w:p>
        </w:tc>
        <w:tc>
          <w:tcPr>
            <w:tcW w:w="2880"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Not significant</w:t>
            </w:r>
          </w:p>
        </w:tc>
      </w:tr>
      <w:tr w:rsidR="00D234CB" w:rsidRPr="00281EDC" w:rsidTr="00C1399A">
        <w:tc>
          <w:tcPr>
            <w:tcW w:w="3313"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Linear-by-Linear Association</w:t>
            </w:r>
          </w:p>
        </w:tc>
        <w:tc>
          <w:tcPr>
            <w:tcW w:w="822"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0.518</w:t>
            </w:r>
          </w:p>
        </w:tc>
        <w:tc>
          <w:tcPr>
            <w:tcW w:w="720"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w:t>
            </w:r>
          </w:p>
        </w:tc>
        <w:tc>
          <w:tcPr>
            <w:tcW w:w="1530"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0.472</w:t>
            </w:r>
          </w:p>
        </w:tc>
        <w:tc>
          <w:tcPr>
            <w:tcW w:w="2880"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Not significant</w:t>
            </w:r>
          </w:p>
        </w:tc>
      </w:tr>
      <w:tr w:rsidR="00D234CB" w:rsidRPr="00281EDC" w:rsidTr="00C1399A">
        <w:tc>
          <w:tcPr>
            <w:tcW w:w="3313"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N of Valid Cases</w:t>
            </w:r>
          </w:p>
        </w:tc>
        <w:tc>
          <w:tcPr>
            <w:tcW w:w="822" w:type="dxa"/>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84</w:t>
            </w:r>
          </w:p>
        </w:tc>
        <w:tc>
          <w:tcPr>
            <w:tcW w:w="720" w:type="dxa"/>
            <w:hideMark/>
          </w:tcPr>
          <w:p w:rsidR="00D234CB" w:rsidRPr="00281EDC" w:rsidRDefault="00D234CB" w:rsidP="00281EDC">
            <w:pPr>
              <w:rPr>
                <w:rFonts w:ascii="Times New Roman" w:eastAsia="Times New Roman" w:hAnsi="Times New Roman" w:cs="Times New Roman"/>
                <w:sz w:val="24"/>
                <w:szCs w:val="24"/>
              </w:rPr>
            </w:pPr>
          </w:p>
        </w:tc>
        <w:tc>
          <w:tcPr>
            <w:tcW w:w="1530" w:type="dxa"/>
            <w:hideMark/>
          </w:tcPr>
          <w:p w:rsidR="00D234CB" w:rsidRPr="00281EDC" w:rsidRDefault="00D234CB" w:rsidP="00281EDC">
            <w:pPr>
              <w:rPr>
                <w:rFonts w:ascii="Times New Roman" w:eastAsia="Times New Roman" w:hAnsi="Times New Roman" w:cs="Times New Roman"/>
                <w:sz w:val="24"/>
                <w:szCs w:val="24"/>
              </w:rPr>
            </w:pPr>
          </w:p>
        </w:tc>
        <w:tc>
          <w:tcPr>
            <w:tcW w:w="2880" w:type="dxa"/>
            <w:hideMark/>
          </w:tcPr>
          <w:p w:rsidR="00D234CB" w:rsidRPr="00281EDC" w:rsidRDefault="00D234CB" w:rsidP="00281EDC">
            <w:pPr>
              <w:rPr>
                <w:rFonts w:ascii="Times New Roman" w:eastAsia="Times New Roman" w:hAnsi="Times New Roman" w:cs="Times New Roman"/>
                <w:sz w:val="24"/>
                <w:szCs w:val="24"/>
              </w:rPr>
            </w:pPr>
          </w:p>
        </w:tc>
      </w:tr>
    </w:tbl>
    <w:p w:rsidR="00D234CB" w:rsidRPr="00281EDC" w:rsidRDefault="00D234CB" w:rsidP="00281EDC">
      <w:pPr>
        <w:pStyle w:val="NormalWeb"/>
        <w:jc w:val="both"/>
      </w:pPr>
      <w:r w:rsidRPr="00281EDC">
        <w:t xml:space="preserve">The chi-square test was conducted to examine the association between survivors’ overall opinion about the reintegration process and whether the rehabilitation centre has promised employment opportunities. The Pearson Chi-Square value was </w:t>
      </w:r>
      <w:r w:rsidRPr="00281EDC">
        <w:rPr>
          <w:rStyle w:val="Strong"/>
          <w:b w:val="0"/>
        </w:rPr>
        <w:t>2.499</w:t>
      </w:r>
      <w:r w:rsidRPr="00281EDC">
        <w:t xml:space="preserve"> with </w:t>
      </w:r>
      <w:r w:rsidRPr="00281EDC">
        <w:rPr>
          <w:rStyle w:val="Strong"/>
          <w:b w:val="0"/>
        </w:rPr>
        <w:t>4 degrees of freedom</w:t>
      </w:r>
      <w:r w:rsidRPr="00281EDC">
        <w:t xml:space="preserve"> and a </w:t>
      </w:r>
      <w:r w:rsidRPr="00281EDC">
        <w:rPr>
          <w:rStyle w:val="Strong"/>
          <w:b w:val="0"/>
        </w:rPr>
        <w:t>p-value of 0.645</w:t>
      </w:r>
      <w:r w:rsidRPr="00281EDC">
        <w:t xml:space="preserve">. Since the p-value is greater than the conventional threshold of 0.05, the result is not statistically significant. This indicates that there is </w:t>
      </w:r>
      <w:r w:rsidRPr="00281EDC">
        <w:rPr>
          <w:rStyle w:val="Strong"/>
          <w:b w:val="0"/>
        </w:rPr>
        <w:t>no evidence of a meaningful association</w:t>
      </w:r>
      <w:r w:rsidRPr="00281EDC">
        <w:t xml:space="preserve"> between how survivors perceive the reintegration process (whether highly satisfied, satisfied, or </w:t>
      </w:r>
      <w:r w:rsidRPr="00281EDC">
        <w:lastRenderedPageBreak/>
        <w:t xml:space="preserve">neutral) and whether they were promised employment opportunities. Similarly, the </w:t>
      </w:r>
      <w:r w:rsidRPr="00281EDC">
        <w:rPr>
          <w:rStyle w:val="Strong"/>
          <w:b w:val="0"/>
        </w:rPr>
        <w:t>Likelihood Ratio test</w:t>
      </w:r>
      <w:r w:rsidRPr="00281EDC">
        <w:t xml:space="preserve"> (χ² = 3.066, p = 0.547) and the </w:t>
      </w:r>
      <w:r w:rsidRPr="00281EDC">
        <w:rPr>
          <w:rStyle w:val="Strong"/>
          <w:b w:val="0"/>
        </w:rPr>
        <w:t>Linear-by-Linear Association test</w:t>
      </w:r>
      <w:r w:rsidRPr="00281EDC">
        <w:t xml:space="preserve"> (χ² = 0.518, p = 0.472) also confirm the lack of statistical significance. In other words, survivors’ opinions about reintegration appear to be </w:t>
      </w:r>
      <w:r w:rsidRPr="00281EDC">
        <w:rPr>
          <w:rStyle w:val="Strong"/>
          <w:b w:val="0"/>
        </w:rPr>
        <w:t>independent</w:t>
      </w:r>
      <w:r w:rsidRPr="00281EDC">
        <w:t xml:space="preserve"> of the promises made regarding employment.</w:t>
      </w:r>
    </w:p>
    <w:p w:rsidR="00D234CB" w:rsidRPr="00281EDC" w:rsidRDefault="00D234CB" w:rsidP="00281EDC">
      <w:pPr>
        <w:pStyle w:val="NormalWeb"/>
        <w:jc w:val="both"/>
        <w:rPr>
          <w:b/>
        </w:rPr>
      </w:pPr>
      <w:r w:rsidRPr="00281EDC">
        <w:t xml:space="preserve">Although descriptively most survivors who were satisfied or highly satisfied tended to respond “Yes” or “Don’t Know” regarding promised employment, this trend was </w:t>
      </w:r>
      <w:r w:rsidRPr="00281EDC">
        <w:rPr>
          <w:rStyle w:val="Strong"/>
          <w:b w:val="0"/>
        </w:rPr>
        <w:t>not strong enough statistically</w:t>
      </w:r>
      <w:r w:rsidRPr="00281EDC">
        <w:t xml:space="preserve"> to establish a significant relationship. Therefore, the null hypothesis (H₀), which states that there is no significant association between the two variables, is </w:t>
      </w:r>
      <w:r w:rsidRPr="00281EDC">
        <w:rPr>
          <w:rStyle w:val="Strong"/>
          <w:b w:val="0"/>
        </w:rPr>
        <w:t>retained</w:t>
      </w:r>
      <w:r w:rsidRPr="00281EDC">
        <w:rPr>
          <w:b/>
        </w:rPr>
        <w:t>.</w:t>
      </w:r>
    </w:p>
    <w:p w:rsidR="00D234CB" w:rsidRPr="00281EDC" w:rsidRDefault="00D234CB" w:rsidP="00281EDC">
      <w:pPr>
        <w:spacing w:line="240" w:lineRule="auto"/>
        <w:rPr>
          <w:rFonts w:ascii="Times New Roman" w:hAnsi="Times New Roman" w:cs="Times New Roman"/>
          <w:b/>
          <w:sz w:val="24"/>
          <w:szCs w:val="24"/>
        </w:rPr>
      </w:pPr>
      <w:r w:rsidRPr="00281EDC">
        <w:rPr>
          <w:rFonts w:ascii="Times New Roman" w:hAnsi="Times New Roman" w:cs="Times New Roman"/>
          <w:b/>
          <w:sz w:val="24"/>
          <w:szCs w:val="24"/>
        </w:rPr>
        <w:t>Hypothesis No V</w:t>
      </w:r>
    </w:p>
    <w:p w:rsidR="00D234CB" w:rsidRPr="00281EDC" w:rsidRDefault="00D234CB" w:rsidP="00281EDC">
      <w:pPr>
        <w:pStyle w:val="NormalWeb"/>
      </w:pPr>
      <w:r w:rsidRPr="00281EDC">
        <w:rPr>
          <w:rStyle w:val="Strong"/>
        </w:rPr>
        <w:t>H₀ (Null):</w:t>
      </w:r>
      <w:r w:rsidRPr="00281EDC">
        <w:t xml:space="preserve"> There is </w:t>
      </w:r>
      <w:r w:rsidRPr="00281EDC">
        <w:rPr>
          <w:rStyle w:val="Strong"/>
          <w:b w:val="0"/>
        </w:rPr>
        <w:t>no significant association</w:t>
      </w:r>
      <w:r w:rsidRPr="00281EDC">
        <w:t xml:space="preserve"> between survivors’ overall opinion about the reintegration process and whether the centre has assured financial support.</w:t>
      </w:r>
    </w:p>
    <w:p w:rsidR="00D234CB" w:rsidRPr="00281EDC" w:rsidRDefault="00D234CB" w:rsidP="00281EDC">
      <w:pPr>
        <w:pStyle w:val="NormalWeb"/>
      </w:pPr>
      <w:r w:rsidRPr="00281EDC">
        <w:rPr>
          <w:rStyle w:val="Strong"/>
        </w:rPr>
        <w:t>H₁ (Alternative):</w:t>
      </w:r>
      <w:r w:rsidRPr="00281EDC">
        <w:t xml:space="preserve"> There is a </w:t>
      </w:r>
      <w:r w:rsidRPr="00281EDC">
        <w:rPr>
          <w:rStyle w:val="Strong"/>
          <w:b w:val="0"/>
        </w:rPr>
        <w:t>significant association</w:t>
      </w:r>
      <w:r w:rsidRPr="00281EDC">
        <w:t xml:space="preserve"> between survivors’ overall opinion about the reintegration process and whether the centre has assured financial support.</w:t>
      </w:r>
    </w:p>
    <w:p w:rsidR="00D234CB" w:rsidRPr="00281EDC" w:rsidRDefault="00D234CB" w:rsidP="00281EDC">
      <w:pPr>
        <w:spacing w:before="100" w:beforeAutospacing="1" w:after="100" w:afterAutospacing="1" w:line="240" w:lineRule="auto"/>
        <w:outlineLvl w:val="2"/>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Table. Crosstabulation of Reintegration Opinion and Promised Financial Support with Chi-Square Results</w:t>
      </w:r>
    </w:p>
    <w:tbl>
      <w:tblPr>
        <w:tblStyle w:val="TableGrid"/>
        <w:tblW w:w="0" w:type="auto"/>
        <w:tblLook w:val="04A0" w:firstRow="1" w:lastRow="0" w:firstColumn="1" w:lastColumn="0" w:noHBand="0" w:noVBand="1"/>
      </w:tblPr>
      <w:tblGrid>
        <w:gridCol w:w="1890"/>
        <w:gridCol w:w="1756"/>
        <w:gridCol w:w="636"/>
        <w:gridCol w:w="516"/>
        <w:gridCol w:w="1477"/>
        <w:gridCol w:w="763"/>
      </w:tblGrid>
      <w:tr w:rsidR="00D234CB" w:rsidRPr="00281EDC" w:rsidTr="005E59D4">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Overall Opinion</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Yes</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No</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Don’t Know</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Total</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Highly Satisfied</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7</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7</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17</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Expected 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7.5</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0.8</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8.5</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17</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Satisfied</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28</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60</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Expected 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26.4</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2.9</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30.0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60</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Neutral</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2</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5</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7</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Expected 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3.1</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0.3</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3.5</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7</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Total</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37</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42</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84</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Expected Count</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37.0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42.0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84</w:t>
            </w:r>
          </w:p>
        </w:tc>
      </w:tr>
    </w:tbl>
    <w:p w:rsidR="00D234CB" w:rsidRPr="00281EDC" w:rsidRDefault="00D234CB" w:rsidP="00281EDC">
      <w:pPr>
        <w:spacing w:line="240" w:lineRule="auto"/>
        <w:rPr>
          <w:rFonts w:ascii="Times New Roman" w:hAnsi="Times New Roman" w:cs="Times New Roman"/>
          <w:sz w:val="24"/>
          <w:szCs w:val="24"/>
        </w:rPr>
      </w:pPr>
    </w:p>
    <w:p w:rsidR="00D234CB" w:rsidRPr="00281EDC" w:rsidRDefault="00D234CB" w:rsidP="00281EDC">
      <w:pPr>
        <w:spacing w:line="240" w:lineRule="auto"/>
        <w:rPr>
          <w:rFonts w:ascii="Times New Roman" w:hAnsi="Times New Roman" w:cs="Times New Roman"/>
          <w:b/>
          <w:sz w:val="24"/>
          <w:szCs w:val="24"/>
        </w:rPr>
      </w:pPr>
      <w:r w:rsidRPr="00281EDC">
        <w:rPr>
          <w:rFonts w:ascii="Times New Roman" w:hAnsi="Times New Roman" w:cs="Times New Roman"/>
          <w:b/>
          <w:sz w:val="24"/>
          <w:szCs w:val="24"/>
        </w:rPr>
        <w:t>Chi-Square Test Results</w:t>
      </w:r>
    </w:p>
    <w:tbl>
      <w:tblPr>
        <w:tblStyle w:val="TableGrid"/>
        <w:tblW w:w="0" w:type="auto"/>
        <w:tblLook w:val="04A0" w:firstRow="1" w:lastRow="0" w:firstColumn="1" w:lastColumn="0" w:noHBand="0" w:noVBand="1"/>
      </w:tblPr>
      <w:tblGrid>
        <w:gridCol w:w="3062"/>
        <w:gridCol w:w="816"/>
        <w:gridCol w:w="430"/>
        <w:gridCol w:w="977"/>
        <w:gridCol w:w="1683"/>
      </w:tblGrid>
      <w:tr w:rsidR="00D234CB" w:rsidRPr="00281EDC" w:rsidTr="005E59D4">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Test</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Value</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df</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p-value</w:t>
            </w:r>
          </w:p>
        </w:tc>
        <w:tc>
          <w:tcPr>
            <w:tcW w:w="0" w:type="auto"/>
            <w:hideMark/>
          </w:tcPr>
          <w:p w:rsidR="00D234CB" w:rsidRPr="00281EDC" w:rsidRDefault="00D234CB" w:rsidP="00281EDC">
            <w:pPr>
              <w:jc w:val="center"/>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Interpretation</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Pearson Chi-Square</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7.696</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0.261</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Not significant</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Likelihood Ratio</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6.794</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6</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0.340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Not significant</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Linear-by-Linear Association</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0.148</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1</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0.700</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Not significant</w:t>
            </w:r>
          </w:p>
        </w:tc>
      </w:tr>
      <w:tr w:rsidR="00D234CB" w:rsidRPr="00281EDC" w:rsidTr="005E59D4">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N of Valid Cases</w:t>
            </w:r>
          </w:p>
        </w:tc>
        <w:tc>
          <w:tcPr>
            <w:tcW w:w="0" w:type="auto"/>
            <w:hideMark/>
          </w:tcPr>
          <w:p w:rsidR="00D234CB" w:rsidRPr="00281EDC" w:rsidRDefault="00D234CB" w:rsidP="00281EDC">
            <w:pPr>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84</w:t>
            </w:r>
          </w:p>
        </w:tc>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p>
        </w:tc>
        <w:tc>
          <w:tcPr>
            <w:tcW w:w="0" w:type="auto"/>
            <w:hideMark/>
          </w:tcPr>
          <w:p w:rsidR="00D234CB" w:rsidRPr="00281EDC" w:rsidRDefault="00D234CB" w:rsidP="00281EDC">
            <w:pPr>
              <w:rPr>
                <w:rFonts w:ascii="Times New Roman" w:eastAsia="Times New Roman" w:hAnsi="Times New Roman" w:cs="Times New Roman"/>
                <w:sz w:val="24"/>
                <w:szCs w:val="24"/>
              </w:rPr>
            </w:pPr>
          </w:p>
        </w:tc>
      </w:tr>
    </w:tbl>
    <w:p w:rsidR="00D234CB" w:rsidRPr="00281EDC" w:rsidRDefault="00D234CB" w:rsidP="00281EDC">
      <w:pPr>
        <w:spacing w:line="240" w:lineRule="auto"/>
        <w:rPr>
          <w:rFonts w:ascii="Times New Roman" w:hAnsi="Times New Roman" w:cs="Times New Roman"/>
          <w:sz w:val="24"/>
          <w:szCs w:val="24"/>
        </w:rPr>
      </w:pPr>
    </w:p>
    <w:p w:rsidR="00D234CB" w:rsidRPr="00281EDC" w:rsidRDefault="00D234CB" w:rsidP="00281EDC">
      <w:pPr>
        <w:pStyle w:val="NormalWeb"/>
        <w:jc w:val="both"/>
      </w:pPr>
      <w:r w:rsidRPr="00281EDC">
        <w:t xml:space="preserve">A chi-square test was performed to examine the relationship between survivors’ overall opinion about the reintegration process and whether the rehabilitation centre had assured them financial support. The Pearson Chi-Square statistic was </w:t>
      </w:r>
      <w:r w:rsidRPr="00281EDC">
        <w:rPr>
          <w:rStyle w:val="Strong"/>
          <w:b w:val="0"/>
        </w:rPr>
        <w:t>7.696</w:t>
      </w:r>
      <w:r w:rsidRPr="00281EDC">
        <w:rPr>
          <w:b/>
        </w:rPr>
        <w:t xml:space="preserve"> </w:t>
      </w:r>
      <w:r w:rsidRPr="00281EDC">
        <w:t>with</w:t>
      </w:r>
      <w:r w:rsidRPr="00281EDC">
        <w:rPr>
          <w:b/>
        </w:rPr>
        <w:t xml:space="preserve"> </w:t>
      </w:r>
      <w:r w:rsidRPr="00281EDC">
        <w:rPr>
          <w:rStyle w:val="Strong"/>
          <w:b w:val="0"/>
        </w:rPr>
        <w:t>6 degrees of freedom</w:t>
      </w:r>
      <w:r w:rsidRPr="00281EDC">
        <w:rPr>
          <w:b/>
        </w:rPr>
        <w:t xml:space="preserve"> and a </w:t>
      </w:r>
      <w:r w:rsidRPr="00281EDC">
        <w:rPr>
          <w:rStyle w:val="Strong"/>
          <w:b w:val="0"/>
        </w:rPr>
        <w:t>p-value of 0.261</w:t>
      </w:r>
      <w:r w:rsidRPr="00281EDC">
        <w:rPr>
          <w:b/>
        </w:rPr>
        <w:t>.</w:t>
      </w:r>
      <w:r w:rsidRPr="00281EDC">
        <w:t xml:space="preserve"> Since the p-value is greater than 0.05, the test indicates that there is </w:t>
      </w:r>
      <w:r w:rsidRPr="00281EDC">
        <w:rPr>
          <w:rStyle w:val="Strong"/>
          <w:b w:val="0"/>
        </w:rPr>
        <w:t>no statistically significant association</w:t>
      </w:r>
      <w:r w:rsidRPr="00281EDC">
        <w:t xml:space="preserve"> between survivors’ satisfaction with the reintegration process and assurances of financial support.</w:t>
      </w:r>
    </w:p>
    <w:p w:rsidR="00D234CB" w:rsidRPr="00281EDC" w:rsidRDefault="00D234CB" w:rsidP="00281EDC">
      <w:pPr>
        <w:pStyle w:val="NormalWeb"/>
        <w:jc w:val="both"/>
      </w:pPr>
      <w:r w:rsidRPr="00281EDC">
        <w:lastRenderedPageBreak/>
        <w:t xml:space="preserve">Supporting tests further confirm this finding: the </w:t>
      </w:r>
      <w:r w:rsidRPr="00281EDC">
        <w:rPr>
          <w:rStyle w:val="Strong"/>
          <w:b w:val="0"/>
        </w:rPr>
        <w:t>Likelihood Ratio</w:t>
      </w:r>
      <w:r w:rsidRPr="00281EDC">
        <w:t xml:space="preserve"> (χ² = 6.794, p = 0.340) and the </w:t>
      </w:r>
      <w:r w:rsidRPr="00281EDC">
        <w:rPr>
          <w:rStyle w:val="Strong"/>
          <w:b w:val="0"/>
        </w:rPr>
        <w:t>Linear-by-Linear Association</w:t>
      </w:r>
      <w:r w:rsidRPr="00281EDC">
        <w:t xml:space="preserve"> (χ² = 0.148, p = 0.700) were also not significant. Thus, survivors’ perceptions of reintegration (highly satisfied, satisfied, neutral) appear to be </w:t>
      </w:r>
      <w:r w:rsidRPr="00281EDC">
        <w:rPr>
          <w:rStyle w:val="Strong"/>
          <w:b w:val="0"/>
        </w:rPr>
        <w:t>independent</w:t>
      </w:r>
      <w:r w:rsidRPr="00281EDC">
        <w:t xml:space="preserve"> of whether they received financial support assurances.</w:t>
      </w:r>
    </w:p>
    <w:p w:rsidR="00D941FA" w:rsidRPr="00281EDC" w:rsidRDefault="00D234CB" w:rsidP="00281EDC">
      <w:pPr>
        <w:pStyle w:val="NormalWeb"/>
        <w:jc w:val="both"/>
      </w:pPr>
      <w:r w:rsidRPr="00281EDC">
        <w:t xml:space="preserve">Although the crosstab results suggest that the majority of respondent both highly satisfied and satisfied answered either </w:t>
      </w:r>
      <w:r w:rsidRPr="00281EDC">
        <w:rPr>
          <w:rStyle w:val="Strong"/>
          <w:b w:val="0"/>
        </w:rPr>
        <w:t>“Yes”</w:t>
      </w:r>
      <w:r w:rsidRPr="00281EDC">
        <w:rPr>
          <w:b/>
        </w:rPr>
        <w:t xml:space="preserve"> or </w:t>
      </w:r>
      <w:r w:rsidRPr="00281EDC">
        <w:rPr>
          <w:rStyle w:val="Strong"/>
          <w:b w:val="0"/>
        </w:rPr>
        <w:t>“Don’t Know”</w:t>
      </w:r>
      <w:r w:rsidRPr="00281EDC">
        <w:t xml:space="preserve"> regarding financial support, this pattern does not hold strong statistical weight. Therefore, the null hypothesis (H₀), stating that there is no significant association between reintegration opinion and financial support assurance, is </w:t>
      </w:r>
      <w:r w:rsidRPr="00281EDC">
        <w:rPr>
          <w:rStyle w:val="Strong"/>
          <w:b w:val="0"/>
        </w:rPr>
        <w:t>retained</w:t>
      </w:r>
      <w:r w:rsidRPr="00281EDC">
        <w:rPr>
          <w:b/>
        </w:rPr>
        <w:t>.</w:t>
      </w:r>
    </w:p>
    <w:p w:rsidR="00A32E1E" w:rsidRPr="00281EDC" w:rsidRDefault="00A32E1E" w:rsidP="00281EDC">
      <w:pPr>
        <w:spacing w:before="100" w:beforeAutospacing="1" w:after="100" w:afterAutospacing="1" w:line="240" w:lineRule="auto"/>
        <w:outlineLvl w:val="2"/>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Discussion</w:t>
      </w:r>
    </w:p>
    <w:p w:rsidR="000645C6" w:rsidRPr="00281EDC" w:rsidRDefault="000645C6" w:rsidP="00281EDC">
      <w:p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 xml:space="preserve">The study conducted among survivors rehabilitated through government and NGO centres in </w:t>
      </w:r>
      <w:r w:rsidRPr="00281EDC">
        <w:rPr>
          <w:rFonts w:ascii="Times New Roman" w:eastAsia="Times New Roman" w:hAnsi="Times New Roman" w:cs="Times New Roman"/>
          <w:bCs/>
          <w:sz w:val="24"/>
          <w:szCs w:val="24"/>
        </w:rPr>
        <w:t>Karnataka</w:t>
      </w:r>
      <w:r w:rsidRPr="00281EDC">
        <w:rPr>
          <w:rFonts w:ascii="Times New Roman" w:eastAsia="Times New Roman" w:hAnsi="Times New Roman" w:cs="Times New Roman"/>
          <w:sz w:val="24"/>
          <w:szCs w:val="24"/>
        </w:rPr>
        <w:t xml:space="preserve"> reveals that </w:t>
      </w:r>
      <w:r w:rsidRPr="00281EDC">
        <w:rPr>
          <w:rFonts w:ascii="Times New Roman" w:eastAsia="Times New Roman" w:hAnsi="Times New Roman" w:cs="Times New Roman"/>
          <w:bCs/>
          <w:sz w:val="24"/>
          <w:szCs w:val="24"/>
        </w:rPr>
        <w:t>employment and financial assurances alone do not significantly influence reintegration satisfaction</w:t>
      </w:r>
      <w:r w:rsidRPr="00281EDC">
        <w:rPr>
          <w:rFonts w:ascii="Times New Roman" w:eastAsia="Times New Roman" w:hAnsi="Times New Roman" w:cs="Times New Roman"/>
          <w:sz w:val="24"/>
          <w:szCs w:val="24"/>
        </w:rPr>
        <w:t>. The absence of statistically significant relationships between institutional promises and survivor satisfaction indicates that economic commitments, though symbolically important, are insufficient for achieving sustainable reintegration.</w:t>
      </w:r>
      <w:r w:rsidR="00ED40AC" w:rsidRPr="00281EDC">
        <w:rPr>
          <w:rFonts w:ascii="Times New Roman" w:eastAsia="Times New Roman" w:hAnsi="Times New Roman" w:cs="Times New Roman"/>
          <w:sz w:val="24"/>
          <w:szCs w:val="24"/>
        </w:rPr>
        <w:t xml:space="preserve"> </w:t>
      </w:r>
      <w:r w:rsidRPr="00281EDC">
        <w:rPr>
          <w:rFonts w:ascii="Times New Roman" w:eastAsia="Times New Roman" w:hAnsi="Times New Roman" w:cs="Times New Roman"/>
          <w:sz w:val="24"/>
          <w:szCs w:val="24"/>
        </w:rPr>
        <w:t>In Karnataka, survivors often face deep-rooted vulnerabilities</w:t>
      </w:r>
      <w:r w:rsidR="00E72CD3" w:rsidRPr="00281EDC">
        <w:rPr>
          <w:rFonts w:ascii="Times New Roman" w:eastAsia="Times New Roman" w:hAnsi="Times New Roman" w:cs="Times New Roman"/>
          <w:sz w:val="24"/>
          <w:szCs w:val="24"/>
        </w:rPr>
        <w:t xml:space="preserve"> </w:t>
      </w:r>
      <w:r w:rsidRPr="00281EDC">
        <w:rPr>
          <w:rFonts w:ascii="Times New Roman" w:eastAsia="Times New Roman" w:hAnsi="Times New Roman" w:cs="Times New Roman"/>
          <w:sz w:val="24"/>
          <w:szCs w:val="24"/>
        </w:rPr>
        <w:t>poverty, caste-based marginalization, and gendered exploitation</w:t>
      </w:r>
      <w:r w:rsidR="00E72CD3" w:rsidRPr="00281EDC">
        <w:rPr>
          <w:rFonts w:ascii="Times New Roman" w:eastAsia="Times New Roman" w:hAnsi="Times New Roman" w:cs="Times New Roman"/>
          <w:sz w:val="24"/>
          <w:szCs w:val="24"/>
        </w:rPr>
        <w:t xml:space="preserve"> </w:t>
      </w:r>
      <w:r w:rsidRPr="00281EDC">
        <w:rPr>
          <w:rFonts w:ascii="Times New Roman" w:eastAsia="Times New Roman" w:hAnsi="Times New Roman" w:cs="Times New Roman"/>
          <w:sz w:val="24"/>
          <w:szCs w:val="24"/>
        </w:rPr>
        <w:t xml:space="preserve">that extend beyond material support. Rehabilitation centres, especially in </w:t>
      </w:r>
      <w:r w:rsidRPr="00281EDC">
        <w:rPr>
          <w:rFonts w:ascii="Times New Roman" w:eastAsia="Times New Roman" w:hAnsi="Times New Roman" w:cs="Times New Roman"/>
          <w:bCs/>
          <w:sz w:val="24"/>
          <w:szCs w:val="24"/>
        </w:rPr>
        <w:t>Mysuru, Chamarajanagar, and Bengaluru Urban districts</w:t>
      </w:r>
      <w:r w:rsidRPr="00281EDC">
        <w:rPr>
          <w:rFonts w:ascii="Times New Roman" w:eastAsia="Times New Roman" w:hAnsi="Times New Roman" w:cs="Times New Roman"/>
          <w:sz w:val="24"/>
          <w:szCs w:val="24"/>
        </w:rPr>
        <w:t>, offer livelihood training and microcredit schemes, yet these frequently lack follow-up, market linkage, and transparent execution, leading to limited trust in institutional commitments.</w:t>
      </w:r>
      <w:r w:rsidR="00ED40AC" w:rsidRPr="00281EDC">
        <w:rPr>
          <w:rFonts w:ascii="Times New Roman" w:eastAsia="Times New Roman" w:hAnsi="Times New Roman" w:cs="Times New Roman"/>
          <w:sz w:val="24"/>
          <w:szCs w:val="24"/>
        </w:rPr>
        <w:t xml:space="preserve"> </w:t>
      </w:r>
      <w:r w:rsidRPr="00281EDC">
        <w:rPr>
          <w:rFonts w:ascii="Times New Roman" w:eastAsia="Times New Roman" w:hAnsi="Times New Roman" w:cs="Times New Roman"/>
          <w:sz w:val="24"/>
          <w:szCs w:val="24"/>
        </w:rPr>
        <w:t xml:space="preserve">Qualitative trends suggest that survivors who were “highly satisfied” or “satisfied” credited </w:t>
      </w:r>
      <w:r w:rsidRPr="00281EDC">
        <w:rPr>
          <w:rFonts w:ascii="Times New Roman" w:eastAsia="Times New Roman" w:hAnsi="Times New Roman" w:cs="Times New Roman"/>
          <w:bCs/>
          <w:sz w:val="24"/>
          <w:szCs w:val="24"/>
        </w:rPr>
        <w:t>emotional support and continuous engagement with rehabilitation staff</w:t>
      </w:r>
      <w:r w:rsidRPr="00281EDC">
        <w:rPr>
          <w:rFonts w:ascii="Times New Roman" w:eastAsia="Times New Roman" w:hAnsi="Times New Roman" w:cs="Times New Roman"/>
          <w:sz w:val="24"/>
          <w:szCs w:val="24"/>
        </w:rPr>
        <w:t xml:space="preserve"> as key factors behind their positive experiences. This highlights the growing importance of </w:t>
      </w:r>
      <w:r w:rsidRPr="00281EDC">
        <w:rPr>
          <w:rFonts w:ascii="Times New Roman" w:eastAsia="Times New Roman" w:hAnsi="Times New Roman" w:cs="Times New Roman"/>
          <w:bCs/>
          <w:sz w:val="24"/>
          <w:szCs w:val="24"/>
        </w:rPr>
        <w:t>non-material dimensions</w:t>
      </w:r>
      <w:r w:rsidRPr="00281EDC">
        <w:rPr>
          <w:rFonts w:ascii="Times New Roman" w:eastAsia="Times New Roman" w:hAnsi="Times New Roman" w:cs="Times New Roman"/>
          <w:sz w:val="24"/>
          <w:szCs w:val="24"/>
        </w:rPr>
        <w:t xml:space="preserve">—trust, empathy, and the sincerity of institutional care—in shaping reintegration satisfaction. When employment or financial promises are unfulfilled or delayed, survivors perceive them as mere formalities, reflecting a </w:t>
      </w:r>
      <w:r w:rsidRPr="00281EDC">
        <w:rPr>
          <w:rFonts w:ascii="Times New Roman" w:eastAsia="Times New Roman" w:hAnsi="Times New Roman" w:cs="Times New Roman"/>
          <w:bCs/>
          <w:sz w:val="24"/>
          <w:szCs w:val="24"/>
        </w:rPr>
        <w:t>gap between institutional intent and implementation</w:t>
      </w:r>
      <w:r w:rsidRPr="00281EDC">
        <w:rPr>
          <w:rFonts w:ascii="Times New Roman" w:eastAsia="Times New Roman" w:hAnsi="Times New Roman" w:cs="Times New Roman"/>
          <w:sz w:val="24"/>
          <w:szCs w:val="24"/>
        </w:rPr>
        <w:t>.</w:t>
      </w:r>
      <w:r w:rsidR="00ED40AC" w:rsidRPr="00281EDC">
        <w:rPr>
          <w:rFonts w:ascii="Times New Roman" w:eastAsia="Times New Roman" w:hAnsi="Times New Roman" w:cs="Times New Roman"/>
          <w:sz w:val="24"/>
          <w:szCs w:val="24"/>
        </w:rPr>
        <w:t xml:space="preserve"> </w:t>
      </w:r>
      <w:r w:rsidRPr="00281EDC">
        <w:rPr>
          <w:rFonts w:ascii="Times New Roman" w:eastAsia="Times New Roman" w:hAnsi="Times New Roman" w:cs="Times New Roman"/>
          <w:sz w:val="24"/>
          <w:szCs w:val="24"/>
        </w:rPr>
        <w:t xml:space="preserve">Furthermore, reintegration success is heavily influenced by </w:t>
      </w:r>
      <w:r w:rsidRPr="00281EDC">
        <w:rPr>
          <w:rFonts w:ascii="Times New Roman" w:eastAsia="Times New Roman" w:hAnsi="Times New Roman" w:cs="Times New Roman"/>
          <w:bCs/>
          <w:sz w:val="24"/>
          <w:szCs w:val="24"/>
        </w:rPr>
        <w:t>family and community acceptance</w:t>
      </w:r>
      <w:r w:rsidRPr="00281EDC">
        <w:rPr>
          <w:rFonts w:ascii="Times New Roman" w:eastAsia="Times New Roman" w:hAnsi="Times New Roman" w:cs="Times New Roman"/>
          <w:sz w:val="24"/>
          <w:szCs w:val="24"/>
        </w:rPr>
        <w:t xml:space="preserve">. In Karnataka’s socio-cultural setting, patriarchal norms and social stigma continue to obstruct full social reintegration. Thus, economic assurances must be embedded within broader frameworks that address </w:t>
      </w:r>
      <w:r w:rsidRPr="00281EDC">
        <w:rPr>
          <w:rFonts w:ascii="Times New Roman" w:eastAsia="Times New Roman" w:hAnsi="Times New Roman" w:cs="Times New Roman"/>
          <w:bCs/>
          <w:sz w:val="24"/>
          <w:szCs w:val="24"/>
        </w:rPr>
        <w:t>psychosocial counseling, community sensitization, and family mediation</w:t>
      </w:r>
      <w:r w:rsidRPr="00281EDC">
        <w:rPr>
          <w:rFonts w:ascii="Times New Roman" w:eastAsia="Times New Roman" w:hAnsi="Times New Roman" w:cs="Times New Roman"/>
          <w:sz w:val="24"/>
          <w:szCs w:val="24"/>
        </w:rPr>
        <w:t xml:space="preserve">. Reintegration, therefore, demands a </w:t>
      </w:r>
      <w:r w:rsidRPr="00281EDC">
        <w:rPr>
          <w:rFonts w:ascii="Times New Roman" w:eastAsia="Times New Roman" w:hAnsi="Times New Roman" w:cs="Times New Roman"/>
          <w:bCs/>
          <w:sz w:val="24"/>
          <w:szCs w:val="24"/>
        </w:rPr>
        <w:t>holistic and trust-based approach</w:t>
      </w:r>
      <w:r w:rsidRPr="00281EDC">
        <w:rPr>
          <w:rFonts w:ascii="Times New Roman" w:eastAsia="Times New Roman" w:hAnsi="Times New Roman" w:cs="Times New Roman"/>
          <w:sz w:val="24"/>
          <w:szCs w:val="24"/>
        </w:rPr>
        <w:t>, ensuring that rehabilitation efforts genuinely restore survivors’ dignity, confidence, and long-term social inclusion.</w:t>
      </w:r>
    </w:p>
    <w:p w:rsidR="00A32E1E" w:rsidRPr="00281EDC" w:rsidRDefault="00A32E1E" w:rsidP="00281EDC">
      <w:pPr>
        <w:spacing w:before="100" w:beforeAutospacing="1" w:after="100" w:afterAutospacing="1" w:line="240" w:lineRule="auto"/>
        <w:outlineLvl w:val="2"/>
        <w:rPr>
          <w:rFonts w:ascii="Times New Roman" w:eastAsia="Times New Roman" w:hAnsi="Times New Roman" w:cs="Times New Roman"/>
          <w:b/>
          <w:bCs/>
          <w:sz w:val="24"/>
          <w:szCs w:val="24"/>
        </w:rPr>
      </w:pPr>
      <w:r w:rsidRPr="00281EDC">
        <w:rPr>
          <w:rFonts w:ascii="Times New Roman" w:eastAsia="Times New Roman" w:hAnsi="Times New Roman" w:cs="Times New Roman"/>
          <w:b/>
          <w:bCs/>
          <w:sz w:val="24"/>
          <w:szCs w:val="24"/>
        </w:rPr>
        <w:t>Policy Implications</w:t>
      </w:r>
    </w:p>
    <w:p w:rsidR="00A32E1E" w:rsidRPr="00281EDC" w:rsidRDefault="00A32E1E" w:rsidP="00281EDC">
      <w:p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sz w:val="24"/>
          <w:szCs w:val="24"/>
        </w:rPr>
        <w:t xml:space="preserve">The results call for a shift from </w:t>
      </w:r>
      <w:r w:rsidRPr="00281EDC">
        <w:rPr>
          <w:rFonts w:ascii="Times New Roman" w:eastAsia="Times New Roman" w:hAnsi="Times New Roman" w:cs="Times New Roman"/>
          <w:bCs/>
          <w:sz w:val="24"/>
          <w:szCs w:val="24"/>
        </w:rPr>
        <w:t>promise-based rehabilitation</w:t>
      </w:r>
      <w:r w:rsidRPr="00281EDC">
        <w:rPr>
          <w:rFonts w:ascii="Times New Roman" w:eastAsia="Times New Roman" w:hAnsi="Times New Roman" w:cs="Times New Roman"/>
          <w:sz w:val="24"/>
          <w:szCs w:val="24"/>
        </w:rPr>
        <w:t xml:space="preserve"> to </w:t>
      </w:r>
      <w:r w:rsidRPr="00281EDC">
        <w:rPr>
          <w:rFonts w:ascii="Times New Roman" w:eastAsia="Times New Roman" w:hAnsi="Times New Roman" w:cs="Times New Roman"/>
          <w:bCs/>
          <w:sz w:val="24"/>
          <w:szCs w:val="24"/>
        </w:rPr>
        <w:t>evidence-based, participatory reintegration</w:t>
      </w:r>
      <w:r w:rsidRPr="00281EDC">
        <w:rPr>
          <w:rFonts w:ascii="Times New Roman" w:eastAsia="Times New Roman" w:hAnsi="Times New Roman" w:cs="Times New Roman"/>
          <w:sz w:val="24"/>
          <w:szCs w:val="24"/>
        </w:rPr>
        <w:t>. Key policy implications include:</w:t>
      </w:r>
    </w:p>
    <w:p w:rsidR="00A32E1E" w:rsidRPr="00281EDC" w:rsidRDefault="00A32E1E" w:rsidP="00281ED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Holistic Reintegration Frameworks:</w:t>
      </w:r>
      <w:r w:rsidRPr="00281EDC">
        <w:rPr>
          <w:rFonts w:ascii="Times New Roman" w:eastAsia="Times New Roman" w:hAnsi="Times New Roman" w:cs="Times New Roman"/>
          <w:sz w:val="24"/>
          <w:szCs w:val="24"/>
        </w:rPr>
        <w:t xml:space="preserve"> Employment and financial support should be part of a broader reintegration model encompassing counselling, community acceptance, and long-term mentoring.</w:t>
      </w:r>
    </w:p>
    <w:p w:rsidR="00A32E1E" w:rsidRPr="00281EDC" w:rsidRDefault="00A32E1E" w:rsidP="00281ED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Implementation Monitoring:</w:t>
      </w:r>
      <w:r w:rsidRPr="00281EDC">
        <w:rPr>
          <w:rFonts w:ascii="Times New Roman" w:eastAsia="Times New Roman" w:hAnsi="Times New Roman" w:cs="Times New Roman"/>
          <w:sz w:val="24"/>
          <w:szCs w:val="24"/>
        </w:rPr>
        <w:t xml:space="preserve"> Rehabilitation centres should maintain records tracking whether employment and financial assurances are fulfilled within six to twelve months post-reintegration.</w:t>
      </w:r>
    </w:p>
    <w:p w:rsidR="00A32E1E" w:rsidRPr="00281EDC" w:rsidRDefault="00A32E1E" w:rsidP="00281ED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lastRenderedPageBreak/>
        <w:t>Skill–Market Alignment:</w:t>
      </w:r>
      <w:r w:rsidRPr="00281EDC">
        <w:rPr>
          <w:rFonts w:ascii="Times New Roman" w:eastAsia="Times New Roman" w:hAnsi="Times New Roman" w:cs="Times New Roman"/>
          <w:sz w:val="24"/>
          <w:szCs w:val="24"/>
        </w:rPr>
        <w:t xml:space="preserve"> Training provided in rehabilitation centres must align with local market opportunities to translate employment promises into sustainable livelihoods.</w:t>
      </w:r>
    </w:p>
    <w:p w:rsidR="00D941FA" w:rsidRPr="00281EDC" w:rsidRDefault="00A32E1E" w:rsidP="00281ED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281EDC">
        <w:rPr>
          <w:rFonts w:ascii="Times New Roman" w:eastAsia="Times New Roman" w:hAnsi="Times New Roman" w:cs="Times New Roman"/>
          <w:b/>
          <w:bCs/>
          <w:sz w:val="24"/>
          <w:szCs w:val="24"/>
        </w:rPr>
        <w:t>Transparency and Trust Building:</w:t>
      </w:r>
      <w:r w:rsidRPr="00281EDC">
        <w:rPr>
          <w:rFonts w:ascii="Times New Roman" w:eastAsia="Times New Roman" w:hAnsi="Times New Roman" w:cs="Times New Roman"/>
          <w:sz w:val="24"/>
          <w:szCs w:val="24"/>
        </w:rPr>
        <w:t xml:space="preserve"> Survivors must be regularly updated on progress related to job placements and financial support to prevent disillusionment.</w:t>
      </w:r>
    </w:p>
    <w:p w:rsidR="00E72CD3" w:rsidRPr="00281EDC" w:rsidRDefault="00E72CD3" w:rsidP="00281EDC">
      <w:pPr>
        <w:pStyle w:val="Heading2"/>
        <w:rPr>
          <w:sz w:val="24"/>
          <w:szCs w:val="24"/>
        </w:rPr>
      </w:pPr>
      <w:r w:rsidRPr="00281EDC">
        <w:rPr>
          <w:rStyle w:val="Strong"/>
          <w:b/>
          <w:bCs/>
          <w:sz w:val="24"/>
          <w:szCs w:val="24"/>
        </w:rPr>
        <w:t>Conclusion</w:t>
      </w:r>
    </w:p>
    <w:p w:rsidR="00E72CD3" w:rsidRPr="00281EDC" w:rsidRDefault="00E72CD3" w:rsidP="00281EDC">
      <w:pPr>
        <w:pStyle w:val="NormalWeb"/>
        <w:jc w:val="both"/>
      </w:pPr>
      <w:r w:rsidRPr="00281EDC">
        <w:t xml:space="preserve">This study concludes that survivors’ satisfaction with the reintegration process in </w:t>
      </w:r>
      <w:r w:rsidRPr="00281EDC">
        <w:rPr>
          <w:rStyle w:val="Strong"/>
          <w:b w:val="0"/>
        </w:rPr>
        <w:t>Karnataka</w:t>
      </w:r>
      <w:r w:rsidRPr="00281EDC">
        <w:t xml:space="preserve"> is statistically independent of institutional assurances of employment or financial support. While such promises form a vital part of rehabilitation frameworks, their effectiveness depends on consistent implementation, emotional engagement, and the credibility of the institutions delivering them.</w:t>
      </w:r>
    </w:p>
    <w:p w:rsidR="00E72CD3" w:rsidRPr="00281EDC" w:rsidRDefault="00E72CD3" w:rsidP="00281EDC">
      <w:pPr>
        <w:pStyle w:val="NormalWeb"/>
        <w:jc w:val="both"/>
      </w:pPr>
      <w:r w:rsidRPr="00281EDC">
        <w:t xml:space="preserve">Survivors in Karnataka value </w:t>
      </w:r>
      <w:r w:rsidRPr="00281EDC">
        <w:rPr>
          <w:rStyle w:val="Strong"/>
          <w:b w:val="0"/>
        </w:rPr>
        <w:t>psychosocial counseling, empathetic support, and community reintegration</w:t>
      </w:r>
      <w:r w:rsidRPr="00281EDC">
        <w:t xml:space="preserve"> more than short-term material commitments. This underscores the need for rehabilitation programs to evolve from </w:t>
      </w:r>
      <w:r w:rsidRPr="00281EDC">
        <w:rPr>
          <w:rStyle w:val="Strong"/>
          <w:b w:val="0"/>
        </w:rPr>
        <w:t>promise-based</w:t>
      </w:r>
      <w:r w:rsidRPr="00281EDC">
        <w:rPr>
          <w:b/>
        </w:rPr>
        <w:t xml:space="preserve"> to </w:t>
      </w:r>
      <w:r w:rsidRPr="00281EDC">
        <w:rPr>
          <w:rStyle w:val="Strong"/>
          <w:b w:val="0"/>
        </w:rPr>
        <w:t>action-based and trust-oriented models</w:t>
      </w:r>
      <w:r w:rsidRPr="00281EDC">
        <w:t>. Institutional success must be measured not merely by the number of assurances made but by the extent to which survivors experience dignity, emotional stability, and social belonging after reintegration.</w:t>
      </w:r>
    </w:p>
    <w:p w:rsidR="00E72CD3" w:rsidRPr="00281EDC" w:rsidRDefault="00E72CD3" w:rsidP="00281EDC">
      <w:pPr>
        <w:pStyle w:val="NormalWeb"/>
        <w:jc w:val="both"/>
      </w:pPr>
      <w:r w:rsidRPr="00281EDC">
        <w:t xml:space="preserve">For policymakers and practitioners, the Karnataka experience offers key lessons. The </w:t>
      </w:r>
      <w:r w:rsidRPr="00281EDC">
        <w:rPr>
          <w:rStyle w:val="Strong"/>
          <w:b w:val="0"/>
        </w:rPr>
        <w:t>Department of Women and Child Development</w:t>
      </w:r>
      <w:r w:rsidRPr="00281EDC">
        <w:t xml:space="preserve">, in collaboration with </w:t>
      </w:r>
      <w:r w:rsidRPr="00281EDC">
        <w:rPr>
          <w:rStyle w:val="Strong"/>
          <w:b w:val="0"/>
        </w:rPr>
        <w:t>NGOs and district-level rehabilitation centres</w:t>
      </w:r>
      <w:r w:rsidRPr="00281EDC">
        <w:t xml:space="preserve">, should strengthen monitoring mechanisms to track whether promised employment and financial assistance are actually realized within six to twelve months post-rehabilitation. Moreover, survivor follow-up programs should integrate </w:t>
      </w:r>
      <w:r w:rsidRPr="00281EDC">
        <w:rPr>
          <w:rStyle w:val="Strong"/>
          <w:b w:val="0"/>
        </w:rPr>
        <w:t>psychosocial counseling, livelihood mentoring, and community sensitization</w:t>
      </w:r>
      <w:r w:rsidRPr="00281EDC">
        <w:t xml:space="preserve"> to foster long-term stability.</w:t>
      </w:r>
    </w:p>
    <w:p w:rsidR="00C42915" w:rsidRPr="00281EDC" w:rsidRDefault="00E72CD3" w:rsidP="00281EDC">
      <w:pPr>
        <w:pStyle w:val="NormalWeb"/>
        <w:jc w:val="both"/>
        <w:rPr>
          <w:rStyle w:val="Strong"/>
          <w:b w:val="0"/>
          <w:bCs w:val="0"/>
        </w:rPr>
      </w:pPr>
      <w:r w:rsidRPr="00281EDC">
        <w:t xml:space="preserve">In sum, </w:t>
      </w:r>
      <w:r w:rsidRPr="00281EDC">
        <w:rPr>
          <w:rStyle w:val="Strong"/>
          <w:b w:val="0"/>
        </w:rPr>
        <w:t>economic assurances alone cannot ensure meaningful reintegration</w:t>
      </w:r>
      <w:r w:rsidRPr="00281EDC">
        <w:t xml:space="preserve">. Sustainable rehabilitation in Karnataka requires a </w:t>
      </w:r>
      <w:r w:rsidRPr="00281EDC">
        <w:rPr>
          <w:rStyle w:val="Strong"/>
          <w:b w:val="0"/>
        </w:rPr>
        <w:t>holistic, survivor-centered, and culturally grounded approach</w:t>
      </w:r>
      <w:r w:rsidRPr="00281EDC">
        <w:t xml:space="preserve"> that blends livelihood security with emotional and social empowerment. Such an integrated framework would not only enhance survivor satisfaction but also reinforce institutional credibility, laying the foundation for truly restorative and dignified reintegration processes across the state.</w:t>
      </w:r>
    </w:p>
    <w:p w:rsidR="00D941FA" w:rsidRPr="00281EDC" w:rsidRDefault="00D941FA" w:rsidP="00281EDC">
      <w:pPr>
        <w:pStyle w:val="Heading2"/>
        <w:rPr>
          <w:sz w:val="24"/>
          <w:szCs w:val="24"/>
        </w:rPr>
      </w:pPr>
      <w:r w:rsidRPr="00281EDC">
        <w:rPr>
          <w:rStyle w:val="Strong"/>
          <w:b/>
          <w:bCs/>
          <w:sz w:val="24"/>
          <w:szCs w:val="24"/>
        </w:rPr>
        <w:t>References</w:t>
      </w:r>
    </w:p>
    <w:p w:rsidR="00D941FA" w:rsidRPr="00281EDC" w:rsidRDefault="00D941FA" w:rsidP="00281EDC">
      <w:pPr>
        <w:pStyle w:val="NormalWeb"/>
        <w:numPr>
          <w:ilvl w:val="0"/>
          <w:numId w:val="6"/>
        </w:numPr>
        <w:jc w:val="both"/>
      </w:pPr>
      <w:r w:rsidRPr="00281EDC">
        <w:t xml:space="preserve">United Nations Office on Drugs and Crime (UNODC). (2020). </w:t>
      </w:r>
      <w:r w:rsidRPr="00281EDC">
        <w:rPr>
          <w:rStyle w:val="Emphasis"/>
        </w:rPr>
        <w:t>Toolkit on Rehabilitation and Reintegration of Survivors.</w:t>
      </w:r>
    </w:p>
    <w:p w:rsidR="00D941FA" w:rsidRPr="00281EDC" w:rsidRDefault="00D941FA" w:rsidP="00281EDC">
      <w:pPr>
        <w:pStyle w:val="NormalWeb"/>
        <w:numPr>
          <w:ilvl w:val="0"/>
          <w:numId w:val="6"/>
        </w:numPr>
        <w:jc w:val="both"/>
      </w:pPr>
      <w:r w:rsidRPr="00281EDC">
        <w:t xml:space="preserve">Ghosh, B. (2019). Rehabilitation and reintegration of trafficking survivors: Policy and practice gaps in India. </w:t>
      </w:r>
      <w:r w:rsidRPr="00281EDC">
        <w:rPr>
          <w:rStyle w:val="Emphasis"/>
        </w:rPr>
        <w:t>Indian Journal of Social Work, 80</w:t>
      </w:r>
      <w:r w:rsidRPr="00281EDC">
        <w:t>(2), 215–238.</w:t>
      </w:r>
    </w:p>
    <w:p w:rsidR="00D941FA" w:rsidRPr="00281EDC" w:rsidRDefault="00D941FA" w:rsidP="00281EDC">
      <w:pPr>
        <w:pStyle w:val="NormalWeb"/>
        <w:numPr>
          <w:ilvl w:val="0"/>
          <w:numId w:val="6"/>
        </w:numPr>
        <w:jc w:val="both"/>
      </w:pPr>
      <w:r w:rsidRPr="00281EDC">
        <w:t xml:space="preserve">Samuelkamaleshkumar, S., Radhika, S., Cherian, B., Elango, A., Winrose, W., Suhany, B. T., &amp; Prakash, M. H. (2010). Community reintegration in rehabilitated South Indian persons with spinal cord injury. </w:t>
      </w:r>
      <w:r w:rsidRPr="00281EDC">
        <w:rPr>
          <w:rStyle w:val="Emphasis"/>
        </w:rPr>
        <w:t>Archives of Physical Medicine and Rehabilitation, 91</w:t>
      </w:r>
      <w:r w:rsidRPr="00281EDC">
        <w:t xml:space="preserve">(7), 1117–1121. </w:t>
      </w:r>
      <w:hyperlink r:id="rId8" w:tgtFrame="_new" w:history="1">
        <w:r w:rsidRPr="00281EDC">
          <w:rPr>
            <w:rStyle w:val="Hyperlink"/>
          </w:rPr>
          <w:t>https://doi.org/10.1016/j.apmr.2010.04.005</w:t>
        </w:r>
      </w:hyperlink>
    </w:p>
    <w:p w:rsidR="00D941FA" w:rsidRPr="00281EDC" w:rsidRDefault="00D941FA" w:rsidP="00281EDC">
      <w:pPr>
        <w:pStyle w:val="NormalWeb"/>
        <w:numPr>
          <w:ilvl w:val="0"/>
          <w:numId w:val="6"/>
        </w:numPr>
        <w:jc w:val="both"/>
      </w:pPr>
      <w:r w:rsidRPr="00281EDC">
        <w:t xml:space="preserve">Andreu, Y., Picazo, C., Murgui, S., Soto-Rubio, A., García-Conde, A., et al. (2023). Exploring the independent association of employment status to cancer survivors’ health-related quality of life. </w:t>
      </w:r>
      <w:r w:rsidRPr="00281EDC">
        <w:rPr>
          <w:rStyle w:val="Emphasis"/>
        </w:rPr>
        <w:t>Health and Quality of Life Outcomes, 21</w:t>
      </w:r>
      <w:r w:rsidRPr="00281EDC">
        <w:t xml:space="preserve">, 44. </w:t>
      </w:r>
      <w:hyperlink r:id="rId9" w:tgtFrame="_new" w:history="1">
        <w:r w:rsidRPr="00281EDC">
          <w:rPr>
            <w:rStyle w:val="Hyperlink"/>
          </w:rPr>
          <w:t>https://doi.org/10.1186/s12955-023-02124-y</w:t>
        </w:r>
      </w:hyperlink>
    </w:p>
    <w:p w:rsidR="00D941FA" w:rsidRPr="00281EDC" w:rsidRDefault="00D941FA" w:rsidP="00281EDC">
      <w:pPr>
        <w:pStyle w:val="NormalWeb"/>
        <w:numPr>
          <w:ilvl w:val="0"/>
          <w:numId w:val="6"/>
        </w:numPr>
        <w:jc w:val="both"/>
      </w:pPr>
      <w:r w:rsidRPr="00281EDC">
        <w:lastRenderedPageBreak/>
        <w:t xml:space="preserve">Greidanus, M. A., van Ommen, F., de Boer, A. G. E. M., Coenen, P., Duijts, S. F. A., et al. (2024). Experiences of unemployed and/or work-disabled cancer survivors who have pursued to return to paid employment: A focus group study. </w:t>
      </w:r>
      <w:r w:rsidRPr="00281EDC">
        <w:rPr>
          <w:rStyle w:val="Emphasis"/>
        </w:rPr>
        <w:t>Journal of Cancer Survivorship.</w:t>
      </w:r>
      <w:r w:rsidRPr="00281EDC">
        <w:t xml:space="preserve"> </w:t>
      </w:r>
      <w:hyperlink r:id="rId10" w:tgtFrame="_new" w:history="1">
        <w:r w:rsidRPr="00281EDC">
          <w:rPr>
            <w:rStyle w:val="Hyperlink"/>
          </w:rPr>
          <w:t>https://doi.org/10.1007/s11764-024-01657-5</w:t>
        </w:r>
      </w:hyperlink>
    </w:p>
    <w:p w:rsidR="00D941FA" w:rsidRPr="00281EDC" w:rsidRDefault="00D941FA" w:rsidP="00281EDC">
      <w:pPr>
        <w:pStyle w:val="NormalWeb"/>
        <w:numPr>
          <w:ilvl w:val="0"/>
          <w:numId w:val="6"/>
        </w:numPr>
        <w:jc w:val="both"/>
      </w:pPr>
      <w:r w:rsidRPr="00281EDC">
        <w:t xml:space="preserve">Kilpatrick, E., et al. (2021). Evaluation of effectiveness of a social reintegration programme at an American burn-centre verified site in the Southeast. </w:t>
      </w:r>
      <w:r w:rsidRPr="00281EDC">
        <w:rPr>
          <w:rStyle w:val="Emphasis"/>
        </w:rPr>
        <w:t>[Journal unspecified].</w:t>
      </w:r>
      <w:r w:rsidRPr="00281EDC">
        <w:t xml:space="preserve"> https://doi.org/10.1016/S2468-9122(22)00003-1</w:t>
      </w:r>
    </w:p>
    <w:p w:rsidR="00D941FA" w:rsidRPr="00281EDC" w:rsidRDefault="00D941FA" w:rsidP="00281EDC">
      <w:pPr>
        <w:pStyle w:val="NormalWeb"/>
        <w:numPr>
          <w:ilvl w:val="0"/>
          <w:numId w:val="6"/>
        </w:numPr>
        <w:jc w:val="both"/>
      </w:pPr>
      <w:r w:rsidRPr="00281EDC">
        <w:t xml:space="preserve">Nizeyimana, E. (2025). A community reintegration model for persons with traumatic brain injury. </w:t>
      </w:r>
      <w:r w:rsidRPr="00281EDC">
        <w:rPr>
          <w:rStyle w:val="Emphasis"/>
        </w:rPr>
        <w:t>Journal of Rehabilitation and Community Integration.</w:t>
      </w:r>
      <w:r w:rsidRPr="00281EDC">
        <w:t xml:space="preserve"> </w:t>
      </w:r>
      <w:hyperlink r:id="rId11" w:tgtFrame="_new" w:history="1">
        <w:r w:rsidRPr="00281EDC">
          <w:rPr>
            <w:rStyle w:val="Hyperlink"/>
          </w:rPr>
          <w:t>https://doi.org/10.1177/27536351251326797</w:t>
        </w:r>
      </w:hyperlink>
    </w:p>
    <w:p w:rsidR="00D941FA" w:rsidRPr="00281EDC" w:rsidRDefault="00D941FA" w:rsidP="00281EDC">
      <w:pPr>
        <w:pStyle w:val="NormalWeb"/>
        <w:numPr>
          <w:ilvl w:val="0"/>
          <w:numId w:val="6"/>
        </w:numPr>
        <w:jc w:val="both"/>
      </w:pPr>
      <w:r w:rsidRPr="00281EDC">
        <w:t xml:space="preserve">Joshi, R. (2025). Challenges and opportunities for the reintegration of sex-trafficking survivors. </w:t>
      </w:r>
      <w:r w:rsidRPr="00281EDC">
        <w:rPr>
          <w:rStyle w:val="Emphasis"/>
        </w:rPr>
        <w:t>Global Health Action.</w:t>
      </w:r>
      <w:r w:rsidRPr="00281EDC">
        <w:t xml:space="preserve"> </w:t>
      </w:r>
      <w:hyperlink r:id="rId12" w:tgtFrame="_new" w:history="1">
        <w:r w:rsidRPr="00281EDC">
          <w:rPr>
            <w:rStyle w:val="Hyperlink"/>
          </w:rPr>
          <w:t>https://doi.org/10.1080/16549716.2025.2522489</w:t>
        </w:r>
      </w:hyperlink>
    </w:p>
    <w:p w:rsidR="00D941FA" w:rsidRPr="00281EDC" w:rsidRDefault="00D941FA" w:rsidP="00281EDC">
      <w:pPr>
        <w:pStyle w:val="NormalWeb"/>
        <w:numPr>
          <w:ilvl w:val="0"/>
          <w:numId w:val="6"/>
        </w:numPr>
        <w:jc w:val="both"/>
      </w:pPr>
      <w:r w:rsidRPr="00281EDC">
        <w:t xml:space="preserve">Ghosh, B. (2019). Rehabilitation and reintegration of trafficking survivors: Policy and practice gaps in India. </w:t>
      </w:r>
      <w:r w:rsidRPr="00281EDC">
        <w:rPr>
          <w:rStyle w:val="Emphasis"/>
        </w:rPr>
        <w:t>Indian Journal of Social Work, 80</w:t>
      </w:r>
      <w:r w:rsidRPr="00281EDC">
        <w:t>(2), 215–238.</w:t>
      </w:r>
    </w:p>
    <w:p w:rsidR="00D941FA" w:rsidRPr="00281EDC" w:rsidRDefault="00D941FA" w:rsidP="00281EDC">
      <w:pPr>
        <w:pStyle w:val="NormalWeb"/>
        <w:numPr>
          <w:ilvl w:val="0"/>
          <w:numId w:val="6"/>
        </w:numPr>
        <w:jc w:val="both"/>
      </w:pPr>
      <w:r w:rsidRPr="00281EDC">
        <w:t xml:space="preserve">Pandey, R., &amp; Singh, S. (2022). Post-rehabilitation livelihood challenges in India’s shelter homes. </w:t>
      </w:r>
      <w:r w:rsidRPr="00281EDC">
        <w:rPr>
          <w:rStyle w:val="Emphasis"/>
        </w:rPr>
        <w:t>Journal of Social Policy Studies, 45</w:t>
      </w:r>
      <w:r w:rsidRPr="00281EDC">
        <w:t>(3), 78–96.</w:t>
      </w:r>
    </w:p>
    <w:sectPr w:rsidR="00D941FA" w:rsidRPr="00281EDC" w:rsidSect="00281EDC">
      <w:headerReference w:type="default" r:id="rId13"/>
      <w:footerReference w:type="default" r:id="rId14"/>
      <w:pgSz w:w="12240" w:h="15840"/>
      <w:pgMar w:top="1440" w:right="1440" w:bottom="1170" w:left="1440" w:header="720" w:footer="720" w:gutter="0"/>
      <w:pgNumType w:start="9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E8B" w:rsidRDefault="008A2E8B" w:rsidP="003B2120">
      <w:pPr>
        <w:spacing w:after="0" w:line="240" w:lineRule="auto"/>
      </w:pPr>
      <w:r>
        <w:separator/>
      </w:r>
    </w:p>
  </w:endnote>
  <w:endnote w:type="continuationSeparator" w:id="0">
    <w:p w:rsidR="008A2E8B" w:rsidRDefault="008A2E8B" w:rsidP="003B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831645"/>
      <w:docPartObj>
        <w:docPartGallery w:val="Page Numbers (Bottom of Page)"/>
        <w:docPartUnique/>
      </w:docPartObj>
    </w:sdtPr>
    <w:sdtEndPr>
      <w:rPr>
        <w:noProof/>
      </w:rPr>
    </w:sdtEndPr>
    <w:sdtContent>
      <w:p w:rsidR="00281EDC" w:rsidRDefault="00281EDC" w:rsidP="00281EDC">
        <w:pPr>
          <w:pStyle w:val="Footer"/>
          <w:jc w:val="right"/>
        </w:pPr>
        <w:r>
          <w:fldChar w:fldCharType="begin"/>
        </w:r>
        <w:r>
          <w:instrText xml:space="preserve"> PAGE   \* MERGEFORMAT </w:instrText>
        </w:r>
        <w:r>
          <w:fldChar w:fldCharType="separate"/>
        </w:r>
        <w:r>
          <w:rPr>
            <w:noProof/>
          </w:rPr>
          <w:t>99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E8B" w:rsidRDefault="008A2E8B" w:rsidP="003B2120">
      <w:pPr>
        <w:spacing w:after="0" w:line="240" w:lineRule="auto"/>
      </w:pPr>
      <w:r>
        <w:separator/>
      </w:r>
    </w:p>
  </w:footnote>
  <w:footnote w:type="continuationSeparator" w:id="0">
    <w:p w:rsidR="008A2E8B" w:rsidRDefault="008A2E8B" w:rsidP="003B2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EDC" w:rsidRPr="00281EDC" w:rsidRDefault="00281EDC" w:rsidP="00281EDC">
    <w:pPr>
      <w:spacing w:after="0" w:line="240" w:lineRule="auto"/>
      <w:ind w:right="118"/>
      <w:jc w:val="right"/>
      <w:rPr>
        <w:rFonts w:ascii="Times New Roman" w:hAnsi="Times New Roman" w:cs="Times New Roman"/>
        <w:b/>
        <w:i/>
        <w:sz w:val="24"/>
      </w:rPr>
    </w:pPr>
    <w:r w:rsidRPr="00281EDC">
      <w:rPr>
        <w:rFonts w:ascii="Times New Roman" w:hAnsi="Times New Roman" w:cs="Times New Roman"/>
        <w:b/>
        <w:i/>
        <w:color w:val="4471C4"/>
        <w:spacing w:val="-1"/>
        <w:sz w:val="24"/>
      </w:rPr>
      <w:t>Phoenix:</w:t>
    </w:r>
    <w:r w:rsidRPr="00281EDC">
      <w:rPr>
        <w:rFonts w:ascii="Times New Roman" w:hAnsi="Times New Roman" w:cs="Times New Roman"/>
        <w:b/>
        <w:i/>
        <w:color w:val="4471C4"/>
        <w:spacing w:val="-9"/>
        <w:sz w:val="24"/>
      </w:rPr>
      <w:t xml:space="preserve"> </w:t>
    </w:r>
    <w:r w:rsidRPr="00281EDC">
      <w:rPr>
        <w:rFonts w:ascii="Times New Roman" w:hAnsi="Times New Roman" w:cs="Times New Roman"/>
        <w:b/>
        <w:i/>
        <w:color w:val="4471C4"/>
        <w:sz w:val="24"/>
      </w:rPr>
      <w:t>International</w:t>
    </w:r>
    <w:r w:rsidRPr="00281EDC">
      <w:rPr>
        <w:rFonts w:ascii="Times New Roman" w:hAnsi="Times New Roman" w:cs="Times New Roman"/>
        <w:b/>
        <w:i/>
        <w:color w:val="4471C4"/>
        <w:spacing w:val="-11"/>
        <w:sz w:val="24"/>
      </w:rPr>
      <w:t xml:space="preserve"> </w:t>
    </w:r>
    <w:r w:rsidRPr="00281EDC">
      <w:rPr>
        <w:rFonts w:ascii="Times New Roman" w:hAnsi="Times New Roman" w:cs="Times New Roman"/>
        <w:b/>
        <w:i/>
        <w:color w:val="4471C4"/>
        <w:sz w:val="24"/>
      </w:rPr>
      <w:t>Multidisciplinary</w:t>
    </w:r>
    <w:r w:rsidRPr="00281EDC">
      <w:rPr>
        <w:rFonts w:ascii="Times New Roman" w:hAnsi="Times New Roman" w:cs="Times New Roman"/>
        <w:b/>
        <w:i/>
        <w:color w:val="4471C4"/>
        <w:spacing w:val="-15"/>
        <w:sz w:val="24"/>
      </w:rPr>
      <w:t xml:space="preserve"> </w:t>
    </w:r>
    <w:r w:rsidRPr="00281EDC">
      <w:rPr>
        <w:rFonts w:ascii="Times New Roman" w:hAnsi="Times New Roman" w:cs="Times New Roman"/>
        <w:b/>
        <w:i/>
        <w:color w:val="4471C4"/>
        <w:sz w:val="24"/>
      </w:rPr>
      <w:t>Research</w:t>
    </w:r>
    <w:r w:rsidRPr="00281EDC">
      <w:rPr>
        <w:rFonts w:ascii="Times New Roman" w:hAnsi="Times New Roman" w:cs="Times New Roman"/>
        <w:b/>
        <w:i/>
        <w:color w:val="4471C4"/>
        <w:spacing w:val="-6"/>
        <w:sz w:val="24"/>
      </w:rPr>
      <w:t xml:space="preserve"> </w:t>
    </w:r>
    <w:r w:rsidRPr="00281EDC">
      <w:rPr>
        <w:rFonts w:ascii="Times New Roman" w:hAnsi="Times New Roman" w:cs="Times New Roman"/>
        <w:b/>
        <w:i/>
        <w:color w:val="4471C4"/>
        <w:sz w:val="24"/>
      </w:rPr>
      <w:t>Journal</w:t>
    </w:r>
  </w:p>
  <w:p w:rsidR="00281EDC" w:rsidRPr="00281EDC" w:rsidRDefault="00281EDC" w:rsidP="00281EDC">
    <w:pPr>
      <w:spacing w:after="0" w:line="240" w:lineRule="auto"/>
      <w:ind w:right="154"/>
      <w:jc w:val="right"/>
      <w:rPr>
        <w:rFonts w:ascii="Times New Roman" w:hAnsi="Times New Roman" w:cs="Times New Roman"/>
        <w:b/>
        <w:i/>
        <w:sz w:val="24"/>
      </w:rPr>
    </w:pPr>
    <w:r w:rsidRPr="00281EDC">
      <w:rPr>
        <w:rFonts w:ascii="Times New Roman" w:hAnsi="Times New Roman" w:cs="Times New Roman"/>
        <w:b/>
        <w:i/>
        <w:sz w:val="24"/>
      </w:rPr>
      <w:t>Vol</w:t>
    </w:r>
    <w:r w:rsidRPr="00281EDC">
      <w:rPr>
        <w:rFonts w:ascii="Times New Roman" w:hAnsi="Times New Roman" w:cs="Times New Roman"/>
        <w:b/>
        <w:i/>
        <w:spacing w:val="-1"/>
        <w:sz w:val="24"/>
      </w:rPr>
      <w:t xml:space="preserve"> </w:t>
    </w:r>
    <w:r w:rsidRPr="00281EDC">
      <w:rPr>
        <w:rFonts w:ascii="Times New Roman" w:hAnsi="Times New Roman" w:cs="Times New Roman"/>
        <w:b/>
        <w:i/>
        <w:sz w:val="24"/>
      </w:rPr>
      <w:t>3,</w:t>
    </w:r>
    <w:r w:rsidRPr="00281EDC">
      <w:rPr>
        <w:rFonts w:ascii="Times New Roman" w:hAnsi="Times New Roman" w:cs="Times New Roman"/>
        <w:b/>
        <w:i/>
        <w:spacing w:val="-1"/>
        <w:sz w:val="24"/>
      </w:rPr>
      <w:t xml:space="preserve"> </w:t>
    </w:r>
    <w:r w:rsidRPr="00281EDC">
      <w:rPr>
        <w:rFonts w:ascii="Times New Roman" w:hAnsi="Times New Roman" w:cs="Times New Roman"/>
        <w:b/>
        <w:i/>
        <w:sz w:val="24"/>
      </w:rPr>
      <w:t>No.</w:t>
    </w:r>
    <w:r w:rsidRPr="00281EDC">
      <w:rPr>
        <w:rFonts w:ascii="Times New Roman" w:hAnsi="Times New Roman" w:cs="Times New Roman"/>
        <w:b/>
        <w:i/>
        <w:spacing w:val="-1"/>
        <w:sz w:val="24"/>
      </w:rPr>
      <w:t xml:space="preserve"> </w:t>
    </w:r>
    <w:r w:rsidRPr="00281EDC">
      <w:rPr>
        <w:rFonts w:ascii="Times New Roman" w:hAnsi="Times New Roman" w:cs="Times New Roman"/>
        <w:b/>
        <w:i/>
        <w:sz w:val="24"/>
      </w:rPr>
      <w:t>4,</w:t>
    </w:r>
    <w:r w:rsidRPr="00281EDC">
      <w:rPr>
        <w:rFonts w:ascii="Times New Roman" w:hAnsi="Times New Roman" w:cs="Times New Roman"/>
        <w:b/>
        <w:i/>
        <w:spacing w:val="-1"/>
        <w:sz w:val="24"/>
      </w:rPr>
      <w:t xml:space="preserve"> </w:t>
    </w:r>
    <w:r w:rsidRPr="00281EDC">
      <w:rPr>
        <w:rFonts w:ascii="Times New Roman" w:hAnsi="Times New Roman" w:cs="Times New Roman"/>
        <w:b/>
        <w:i/>
        <w:sz w:val="24"/>
      </w:rPr>
      <w:t>Oct-Dec,</w:t>
    </w:r>
    <w:r w:rsidRPr="00281EDC">
      <w:rPr>
        <w:rFonts w:ascii="Times New Roman" w:hAnsi="Times New Roman" w:cs="Times New Roman"/>
        <w:b/>
        <w:i/>
        <w:spacing w:val="-1"/>
        <w:sz w:val="24"/>
      </w:rPr>
      <w:t xml:space="preserve"> </w:t>
    </w:r>
    <w:r w:rsidRPr="00281EDC">
      <w:rPr>
        <w:rFonts w:ascii="Times New Roman" w:hAnsi="Times New Roman" w:cs="Times New Roman"/>
        <w:b/>
        <w:i/>
        <w:sz w:val="24"/>
      </w:rPr>
      <w:t>2025</w:t>
    </w:r>
  </w:p>
  <w:p w:rsidR="00281EDC" w:rsidRPr="00281EDC" w:rsidRDefault="00281EDC" w:rsidP="00281EDC">
    <w:pPr>
      <w:spacing w:after="0" w:line="240" w:lineRule="auto"/>
      <w:ind w:right="154"/>
      <w:jc w:val="right"/>
      <w:rPr>
        <w:rFonts w:ascii="Times New Roman" w:hAnsi="Times New Roman" w:cs="Times New Roman"/>
        <w:b/>
        <w:i/>
        <w:sz w:val="24"/>
      </w:rPr>
    </w:pPr>
    <w:r w:rsidRPr="00281EDC">
      <w:rPr>
        <w:rFonts w:ascii="Times New Roman" w:hAnsi="Times New Roman" w:cs="Times New Roman"/>
        <w:b/>
        <w:i/>
        <w:sz w:val="24"/>
      </w:rPr>
      <w:t>ISSN:2583-6897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1486B"/>
    <w:multiLevelType w:val="multilevel"/>
    <w:tmpl w:val="0BFC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411E9"/>
    <w:multiLevelType w:val="multilevel"/>
    <w:tmpl w:val="977E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729D2"/>
    <w:multiLevelType w:val="multilevel"/>
    <w:tmpl w:val="3F86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482789"/>
    <w:multiLevelType w:val="multilevel"/>
    <w:tmpl w:val="F9A6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934EED"/>
    <w:multiLevelType w:val="multilevel"/>
    <w:tmpl w:val="28C2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8D6D43"/>
    <w:multiLevelType w:val="multilevel"/>
    <w:tmpl w:val="C03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1E"/>
    <w:rsid w:val="00015AEA"/>
    <w:rsid w:val="000645C6"/>
    <w:rsid w:val="00281EDC"/>
    <w:rsid w:val="003B2120"/>
    <w:rsid w:val="004275A3"/>
    <w:rsid w:val="005A1E47"/>
    <w:rsid w:val="008712F3"/>
    <w:rsid w:val="008A2E8B"/>
    <w:rsid w:val="0092495B"/>
    <w:rsid w:val="00A32E1E"/>
    <w:rsid w:val="00BD6C38"/>
    <w:rsid w:val="00C1399A"/>
    <w:rsid w:val="00C42915"/>
    <w:rsid w:val="00C770F6"/>
    <w:rsid w:val="00D234CB"/>
    <w:rsid w:val="00D346ED"/>
    <w:rsid w:val="00D941FA"/>
    <w:rsid w:val="00DC7E59"/>
    <w:rsid w:val="00E72CD3"/>
    <w:rsid w:val="00ED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A202A"/>
  <w15:chartTrackingRefBased/>
  <w15:docId w15:val="{3B12C627-0A72-4648-8060-1FB065DD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1E"/>
  </w:style>
  <w:style w:type="paragraph" w:styleId="Heading2">
    <w:name w:val="heading 2"/>
    <w:basedOn w:val="Normal"/>
    <w:link w:val="Heading2Char"/>
    <w:uiPriority w:val="9"/>
    <w:qFormat/>
    <w:rsid w:val="00A32E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2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2E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1E"/>
    <w:rPr>
      <w:b/>
      <w:bCs/>
    </w:rPr>
  </w:style>
  <w:style w:type="character" w:customStyle="1" w:styleId="cf01">
    <w:name w:val="cf01"/>
    <w:basedOn w:val="DefaultParagraphFont"/>
    <w:rsid w:val="00A32E1E"/>
    <w:rPr>
      <w:rFonts w:ascii="Consolas" w:hAnsi="Consolas" w:hint="default"/>
      <w:sz w:val="22"/>
      <w:szCs w:val="22"/>
    </w:rPr>
  </w:style>
  <w:style w:type="table" w:styleId="TableGrid">
    <w:name w:val="Table Grid"/>
    <w:basedOn w:val="TableNormal"/>
    <w:uiPriority w:val="39"/>
    <w:rsid w:val="00A32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32E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2E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2E1E"/>
    <w:rPr>
      <w:rFonts w:ascii="Times New Roman" w:eastAsia="Times New Roman" w:hAnsi="Times New Roman" w:cs="Times New Roman"/>
      <w:b/>
      <w:bCs/>
      <w:sz w:val="24"/>
      <w:szCs w:val="24"/>
    </w:rPr>
  </w:style>
  <w:style w:type="character" w:styleId="Emphasis">
    <w:name w:val="Emphasis"/>
    <w:basedOn w:val="DefaultParagraphFont"/>
    <w:uiPriority w:val="20"/>
    <w:qFormat/>
    <w:rsid w:val="00A32E1E"/>
    <w:rPr>
      <w:i/>
      <w:iCs/>
    </w:rPr>
  </w:style>
  <w:style w:type="character" w:styleId="Hyperlink">
    <w:name w:val="Hyperlink"/>
    <w:basedOn w:val="DefaultParagraphFont"/>
    <w:uiPriority w:val="99"/>
    <w:semiHidden/>
    <w:unhideWhenUsed/>
    <w:rsid w:val="00D941FA"/>
    <w:rPr>
      <w:color w:val="0000FF"/>
      <w:u w:val="single"/>
    </w:rPr>
  </w:style>
  <w:style w:type="paragraph" w:styleId="FootnoteText">
    <w:name w:val="footnote text"/>
    <w:basedOn w:val="Normal"/>
    <w:link w:val="FootnoteTextChar"/>
    <w:uiPriority w:val="99"/>
    <w:semiHidden/>
    <w:unhideWhenUsed/>
    <w:rsid w:val="003B21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120"/>
    <w:rPr>
      <w:sz w:val="20"/>
      <w:szCs w:val="20"/>
    </w:rPr>
  </w:style>
  <w:style w:type="character" w:styleId="FootnoteReference">
    <w:name w:val="footnote reference"/>
    <w:basedOn w:val="DefaultParagraphFont"/>
    <w:uiPriority w:val="99"/>
    <w:semiHidden/>
    <w:unhideWhenUsed/>
    <w:rsid w:val="003B2120"/>
    <w:rPr>
      <w:vertAlign w:val="superscript"/>
    </w:rPr>
  </w:style>
  <w:style w:type="paragraph" w:styleId="Header">
    <w:name w:val="header"/>
    <w:basedOn w:val="Normal"/>
    <w:link w:val="HeaderChar"/>
    <w:uiPriority w:val="99"/>
    <w:unhideWhenUsed/>
    <w:rsid w:val="00281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EDC"/>
  </w:style>
  <w:style w:type="paragraph" w:styleId="Footer">
    <w:name w:val="footer"/>
    <w:basedOn w:val="Normal"/>
    <w:link w:val="FooterChar"/>
    <w:uiPriority w:val="99"/>
    <w:unhideWhenUsed/>
    <w:rsid w:val="00281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705273">
      <w:bodyDiv w:val="1"/>
      <w:marLeft w:val="0"/>
      <w:marRight w:val="0"/>
      <w:marTop w:val="0"/>
      <w:marBottom w:val="0"/>
      <w:divBdr>
        <w:top w:val="none" w:sz="0" w:space="0" w:color="auto"/>
        <w:left w:val="none" w:sz="0" w:space="0" w:color="auto"/>
        <w:bottom w:val="none" w:sz="0" w:space="0" w:color="auto"/>
        <w:right w:val="none" w:sz="0" w:space="0" w:color="auto"/>
      </w:divBdr>
    </w:div>
    <w:div w:id="765732133">
      <w:bodyDiv w:val="1"/>
      <w:marLeft w:val="0"/>
      <w:marRight w:val="0"/>
      <w:marTop w:val="0"/>
      <w:marBottom w:val="0"/>
      <w:divBdr>
        <w:top w:val="none" w:sz="0" w:space="0" w:color="auto"/>
        <w:left w:val="none" w:sz="0" w:space="0" w:color="auto"/>
        <w:bottom w:val="none" w:sz="0" w:space="0" w:color="auto"/>
        <w:right w:val="none" w:sz="0" w:space="0" w:color="auto"/>
      </w:divBdr>
    </w:div>
    <w:div w:id="959841588">
      <w:bodyDiv w:val="1"/>
      <w:marLeft w:val="0"/>
      <w:marRight w:val="0"/>
      <w:marTop w:val="0"/>
      <w:marBottom w:val="0"/>
      <w:divBdr>
        <w:top w:val="none" w:sz="0" w:space="0" w:color="auto"/>
        <w:left w:val="none" w:sz="0" w:space="0" w:color="auto"/>
        <w:bottom w:val="none" w:sz="0" w:space="0" w:color="auto"/>
        <w:right w:val="none" w:sz="0" w:space="0" w:color="auto"/>
      </w:divBdr>
    </w:div>
    <w:div w:id="1447043652">
      <w:bodyDiv w:val="1"/>
      <w:marLeft w:val="0"/>
      <w:marRight w:val="0"/>
      <w:marTop w:val="0"/>
      <w:marBottom w:val="0"/>
      <w:divBdr>
        <w:top w:val="none" w:sz="0" w:space="0" w:color="auto"/>
        <w:left w:val="none" w:sz="0" w:space="0" w:color="auto"/>
        <w:bottom w:val="none" w:sz="0" w:space="0" w:color="auto"/>
        <w:right w:val="none" w:sz="0" w:space="0" w:color="auto"/>
      </w:divBdr>
    </w:div>
    <w:div w:id="1486968395">
      <w:bodyDiv w:val="1"/>
      <w:marLeft w:val="0"/>
      <w:marRight w:val="0"/>
      <w:marTop w:val="0"/>
      <w:marBottom w:val="0"/>
      <w:divBdr>
        <w:top w:val="none" w:sz="0" w:space="0" w:color="auto"/>
        <w:left w:val="none" w:sz="0" w:space="0" w:color="auto"/>
        <w:bottom w:val="none" w:sz="0" w:space="0" w:color="auto"/>
        <w:right w:val="none" w:sz="0" w:space="0" w:color="auto"/>
      </w:divBdr>
    </w:div>
    <w:div w:id="1611861908">
      <w:bodyDiv w:val="1"/>
      <w:marLeft w:val="0"/>
      <w:marRight w:val="0"/>
      <w:marTop w:val="0"/>
      <w:marBottom w:val="0"/>
      <w:divBdr>
        <w:top w:val="none" w:sz="0" w:space="0" w:color="auto"/>
        <w:left w:val="none" w:sz="0" w:space="0" w:color="auto"/>
        <w:bottom w:val="none" w:sz="0" w:space="0" w:color="auto"/>
        <w:right w:val="none" w:sz="0" w:space="0" w:color="auto"/>
      </w:divBdr>
    </w:div>
    <w:div w:id="170841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mr.2010.04.00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6549716.2025.252248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753635125132679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s11764-024-01657-5" TargetMode="External"/><Relationship Id="rId4" Type="http://schemas.openxmlformats.org/officeDocument/2006/relationships/settings" Target="settings.xml"/><Relationship Id="rId9" Type="http://schemas.openxmlformats.org/officeDocument/2006/relationships/hyperlink" Target="https://doi.org/10.1186/s12955-023-02124-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24B3F-A55B-4EBD-BDDE-72E1932C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Sanganagouda Patil</dc:creator>
  <cp:keywords/>
  <dc:description/>
  <cp:lastModifiedBy>kc</cp:lastModifiedBy>
  <cp:revision>2</cp:revision>
  <dcterms:created xsi:type="dcterms:W3CDTF">2025-11-16T05:54:00Z</dcterms:created>
  <dcterms:modified xsi:type="dcterms:W3CDTF">2025-11-16T05:54:00Z</dcterms:modified>
</cp:coreProperties>
</file>